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4536"/>
      </w:tblGrid>
      <w:tr w:rsidR="0087085A">
        <w:trPr>
          <w:trHeight w:val="1738"/>
        </w:trPr>
        <w:tc>
          <w:tcPr>
            <w:tcW w:w="6096" w:type="dxa"/>
          </w:tcPr>
          <w:p w:rsidR="0087085A" w:rsidRDefault="0087085A">
            <w:pPr>
              <w:widowControl w:val="0"/>
              <w:tabs>
                <w:tab w:val="left" w:pos="6804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536" w:type="dxa"/>
          </w:tcPr>
          <w:p w:rsidR="0087085A" w:rsidRDefault="0087085A">
            <w:pPr>
              <w:widowControl w:val="0"/>
              <w:outlineLvl w:val="0"/>
            </w:pPr>
          </w:p>
          <w:p w:rsidR="0087085A" w:rsidRDefault="005810A0">
            <w:pPr>
              <w:widowControl w:val="0"/>
              <w:tabs>
                <w:tab w:val="left" w:pos="7230"/>
              </w:tabs>
              <w:ind w:left="601"/>
            </w:pPr>
            <w:r>
              <w:t>УТВЕРЖДАЮ:</w:t>
            </w:r>
          </w:p>
          <w:p w:rsidR="0087085A" w:rsidRDefault="005810A0">
            <w:pPr>
              <w:widowControl w:val="0"/>
              <w:tabs>
                <w:tab w:val="left" w:pos="7230"/>
              </w:tabs>
              <w:ind w:left="601"/>
            </w:pPr>
            <w:r>
              <w:t xml:space="preserve">Заместитель </w:t>
            </w:r>
          </w:p>
          <w:p w:rsidR="0087085A" w:rsidRDefault="005810A0">
            <w:pPr>
              <w:widowControl w:val="0"/>
              <w:tabs>
                <w:tab w:val="left" w:pos="7230"/>
              </w:tabs>
              <w:ind w:left="601"/>
            </w:pPr>
            <w:r>
              <w:t xml:space="preserve">директора по реализации </w:t>
            </w:r>
          </w:p>
          <w:p w:rsidR="0087085A" w:rsidRDefault="005810A0">
            <w:pPr>
              <w:widowControl w:val="0"/>
              <w:tabs>
                <w:tab w:val="left" w:pos="7230"/>
              </w:tabs>
              <w:ind w:left="601"/>
            </w:pPr>
            <w:r>
              <w:t xml:space="preserve">и развитию услуг </w:t>
            </w:r>
          </w:p>
          <w:p w:rsidR="0087085A" w:rsidRDefault="005810A0">
            <w:pPr>
              <w:widowControl w:val="0"/>
              <w:tabs>
                <w:tab w:val="left" w:pos="7230"/>
              </w:tabs>
              <w:ind w:left="601"/>
            </w:pPr>
            <w:r>
              <w:t>АО «Россети Сибирь Тываэнерго»</w:t>
            </w:r>
          </w:p>
          <w:p w:rsidR="0087085A" w:rsidRDefault="005810A0">
            <w:pPr>
              <w:widowControl w:val="0"/>
              <w:tabs>
                <w:tab w:val="left" w:pos="7230"/>
              </w:tabs>
              <w:ind w:left="601"/>
            </w:pPr>
            <w:r>
              <w:t>____________ О.В. Туренко</w:t>
            </w:r>
          </w:p>
          <w:p w:rsidR="0087085A" w:rsidRDefault="005810A0">
            <w:pPr>
              <w:widowControl w:val="0"/>
              <w:tabs>
                <w:tab w:val="left" w:pos="6804"/>
                <w:tab w:val="left" w:pos="7230"/>
              </w:tabs>
              <w:ind w:left="601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t>«___»____________ 2024 г.</w:t>
            </w:r>
          </w:p>
        </w:tc>
      </w:tr>
    </w:tbl>
    <w:p w:rsidR="0087085A" w:rsidRDefault="0087085A">
      <w:pPr>
        <w:widowControl w:val="0"/>
        <w:jc w:val="right"/>
      </w:pPr>
    </w:p>
    <w:p w:rsidR="0087085A" w:rsidRDefault="0087085A">
      <w:pPr>
        <w:widowControl w:val="0"/>
        <w:jc w:val="righ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87085A">
        <w:trPr>
          <w:trHeight w:val="2835"/>
        </w:trPr>
        <w:tc>
          <w:tcPr>
            <w:tcW w:w="4927" w:type="dxa"/>
          </w:tcPr>
          <w:p w:rsidR="0087085A" w:rsidRDefault="0087085A">
            <w:pPr>
              <w:widowControl w:val="0"/>
              <w:tabs>
                <w:tab w:val="left" w:pos="5940"/>
              </w:tabs>
              <w:ind w:right="-82"/>
              <w:jc w:val="both"/>
              <w:rPr>
                <w:b/>
                <w:sz w:val="27"/>
                <w:szCs w:val="27"/>
              </w:rPr>
            </w:pPr>
          </w:p>
        </w:tc>
        <w:tc>
          <w:tcPr>
            <w:tcW w:w="4927" w:type="dxa"/>
          </w:tcPr>
          <w:p w:rsidR="0087085A" w:rsidRDefault="0087085A">
            <w:pPr>
              <w:widowControl w:val="0"/>
              <w:ind w:right="-82"/>
            </w:pPr>
          </w:p>
        </w:tc>
      </w:tr>
    </w:tbl>
    <w:p w:rsidR="0087085A" w:rsidRDefault="0087085A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:rsidR="0087085A" w:rsidRDefault="0087085A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:rsidR="0087085A" w:rsidRDefault="0087085A">
      <w:pPr>
        <w:widowControl w:val="0"/>
        <w:tabs>
          <w:tab w:val="left" w:pos="5940"/>
        </w:tabs>
        <w:ind w:right="-82"/>
        <w:jc w:val="both"/>
        <w:rPr>
          <w:b/>
          <w:sz w:val="27"/>
          <w:szCs w:val="27"/>
        </w:rPr>
      </w:pPr>
    </w:p>
    <w:p w:rsidR="0087085A" w:rsidRDefault="0087085A">
      <w:pPr>
        <w:widowControl w:val="0"/>
        <w:tabs>
          <w:tab w:val="left" w:pos="5940"/>
        </w:tabs>
        <w:ind w:left="-360" w:right="-82" w:firstLine="900"/>
        <w:jc w:val="center"/>
        <w:rPr>
          <w:b/>
          <w:sz w:val="27"/>
          <w:szCs w:val="27"/>
        </w:rPr>
      </w:pPr>
    </w:p>
    <w:p w:rsidR="0087085A" w:rsidRDefault="005810A0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ТЕХНИЧЕСКОЕ ЗАДАНИЕ</w:t>
      </w:r>
    </w:p>
    <w:p w:rsidR="0087085A" w:rsidRDefault="005810A0">
      <w:pPr>
        <w:widowControl w:val="0"/>
        <w:jc w:val="center"/>
      </w:pPr>
      <w:r>
        <w:rPr>
          <w:bCs/>
          <w:sz w:val="28"/>
          <w:szCs w:val="28"/>
        </w:rPr>
        <w:t>на проведение закупки, на право заключения договора поставки приборов учета электроэнергии в рамках ремонтной программы на 2025 г.</w:t>
      </w:r>
    </w:p>
    <w:p w:rsidR="0087085A" w:rsidRDefault="0087085A">
      <w:pPr>
        <w:widowControl w:val="0"/>
        <w:ind w:right="-82"/>
        <w:jc w:val="both"/>
        <w:rPr>
          <w:sz w:val="27"/>
          <w:szCs w:val="27"/>
        </w:rPr>
      </w:pPr>
    </w:p>
    <w:p w:rsidR="0087085A" w:rsidRDefault="0087085A">
      <w:pPr>
        <w:widowControl w:val="0"/>
        <w:ind w:right="-82"/>
        <w:jc w:val="both"/>
        <w:rPr>
          <w:sz w:val="27"/>
          <w:szCs w:val="27"/>
        </w:rPr>
      </w:pPr>
    </w:p>
    <w:p w:rsidR="0087085A" w:rsidRDefault="0087085A">
      <w:pPr>
        <w:widowControl w:val="0"/>
        <w:ind w:right="-82"/>
        <w:jc w:val="both"/>
        <w:rPr>
          <w:sz w:val="27"/>
          <w:szCs w:val="27"/>
        </w:rPr>
      </w:pPr>
    </w:p>
    <w:p w:rsidR="0087085A" w:rsidRDefault="0087085A">
      <w:pPr>
        <w:widowControl w:val="0"/>
        <w:ind w:right="-82"/>
        <w:jc w:val="both"/>
        <w:rPr>
          <w:sz w:val="27"/>
          <w:szCs w:val="27"/>
        </w:rPr>
      </w:pPr>
    </w:p>
    <w:p w:rsidR="0087085A" w:rsidRDefault="0087085A">
      <w:pPr>
        <w:widowControl w:val="0"/>
        <w:ind w:right="-82"/>
        <w:jc w:val="both"/>
        <w:rPr>
          <w:sz w:val="27"/>
          <w:szCs w:val="27"/>
        </w:rPr>
      </w:pPr>
    </w:p>
    <w:p w:rsidR="0087085A" w:rsidRDefault="0087085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87085A" w:rsidRDefault="0087085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87085A" w:rsidRDefault="0087085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87085A" w:rsidRDefault="0087085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87085A" w:rsidRDefault="0087085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87085A" w:rsidRDefault="0087085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87085A" w:rsidRDefault="0087085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87085A" w:rsidRDefault="0087085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87085A" w:rsidRDefault="0087085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87085A" w:rsidRDefault="0087085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87085A" w:rsidRDefault="0087085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87085A" w:rsidRDefault="0087085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87085A" w:rsidRDefault="005810A0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  <w:bookmarkStart w:id="0" w:name="_Toc309206577"/>
      <w:bookmarkStart w:id="1" w:name="_Toc313980635"/>
      <w:bookmarkStart w:id="2" w:name="_Toc314559255"/>
      <w:bookmarkStart w:id="3" w:name="_Toc314587523"/>
      <w:bookmarkStart w:id="4" w:name="_Toc314845594"/>
      <w:bookmarkStart w:id="5" w:name="_Toc317599605"/>
      <w:bookmarkStart w:id="6" w:name="_Toc318269937"/>
      <w:bookmarkStart w:id="7" w:name="_Toc318456804"/>
      <w:bookmarkStart w:id="8" w:name="_Toc322511650"/>
      <w:r>
        <w:t>г. Кызыл, 2024 г.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87085A" w:rsidRDefault="0087085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87085A" w:rsidRDefault="0087085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87085A" w:rsidRDefault="0087085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87085A" w:rsidRDefault="0087085A">
      <w:pPr>
        <w:widowControl w:val="0"/>
        <w:ind w:firstLine="851"/>
        <w:contextualSpacing/>
        <w:jc w:val="both"/>
      </w:pPr>
      <w:bookmarkStart w:id="9" w:name="_Toc322511652"/>
    </w:p>
    <w:p w:rsidR="0087085A" w:rsidRDefault="0087085A">
      <w:pPr>
        <w:widowControl w:val="0"/>
        <w:ind w:firstLine="851"/>
        <w:contextualSpacing/>
        <w:jc w:val="both"/>
      </w:pPr>
    </w:p>
    <w:p w:rsidR="0087085A" w:rsidRDefault="0087085A">
      <w:pPr>
        <w:widowControl w:val="0"/>
        <w:ind w:firstLine="851"/>
        <w:contextualSpacing/>
        <w:jc w:val="both"/>
      </w:pPr>
    </w:p>
    <w:p w:rsidR="0087085A" w:rsidRDefault="005810A0">
      <w:pPr>
        <w:widowControl w:val="0"/>
        <w:ind w:left="708"/>
        <w:outlineLvl w:val="1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1. Место, условия, срок, цена, объем поставки Продукции (Товара).</w:t>
      </w:r>
    </w:p>
    <w:p w:rsidR="0087085A" w:rsidRDefault="005810A0" w:rsidP="00273A9C">
      <w:pPr>
        <w:numPr>
          <w:ilvl w:val="1"/>
          <w:numId w:val="24"/>
        </w:numPr>
        <w:ind w:left="0" w:firstLine="710"/>
        <w:jc w:val="both"/>
      </w:pPr>
      <w:bookmarkStart w:id="10" w:name="_Toc322511656"/>
      <w:bookmarkEnd w:id="9"/>
      <w:r>
        <w:t>Место поставки: АО «Россети Сибирь Тываэнерго», Республика Тыва, г. Кызыл, ул. Колхозная, 2б</w:t>
      </w:r>
    </w:p>
    <w:p w:rsidR="0087085A" w:rsidRDefault="005810A0">
      <w:pPr>
        <w:pStyle w:val="afa"/>
        <w:widowControl w:val="0"/>
        <w:numPr>
          <w:ilvl w:val="1"/>
          <w:numId w:val="24"/>
        </w:numPr>
        <w:tabs>
          <w:tab w:val="left" w:pos="1134"/>
        </w:tabs>
        <w:ind w:left="709" w:firstLine="1"/>
        <w:jc w:val="both"/>
        <w:rPr>
          <w:b/>
        </w:rPr>
      </w:pPr>
      <w:r>
        <w:rPr>
          <w:b/>
        </w:rPr>
        <w:t>Условия поставки</w:t>
      </w:r>
    </w:p>
    <w:p w:rsidR="0087085A" w:rsidRDefault="005810A0">
      <w:pPr>
        <w:widowControl w:val="0"/>
        <w:ind w:firstLine="709"/>
        <w:jc w:val="both"/>
      </w:pPr>
      <w:r>
        <w:t xml:space="preserve">Продукция (товар) поставляется транспортом Поставщика до склада Покупателя. Поставка продукции (товара) должна осуществляться, как правило, с завода-изготовителя или его дилеров. Транспортирование продукции (товара) должно осуществляться </w:t>
      </w:r>
      <w:r>
        <w:rPr>
          <w:iCs/>
        </w:rPr>
        <w:t>в упаковке</w:t>
      </w:r>
      <w:r>
        <w:t xml:space="preserve">, исключающей механическое повреждение, в соответствии с правилами перевозки грузов, действующими на данном виде транспорта. </w:t>
      </w:r>
    </w:p>
    <w:p w:rsidR="0087085A" w:rsidRDefault="005810A0">
      <w:pPr>
        <w:pStyle w:val="afa"/>
        <w:widowControl w:val="0"/>
        <w:numPr>
          <w:ilvl w:val="1"/>
          <w:numId w:val="24"/>
        </w:numPr>
        <w:tabs>
          <w:tab w:val="left" w:pos="1134"/>
        </w:tabs>
        <w:ind w:left="0" w:firstLine="710"/>
        <w:jc w:val="both"/>
      </w:pPr>
      <w:r>
        <w:t>Все налоги, сборы, отчисления и другие платежи, включая таможенные платежи и сборы, услуги сервисного центра по надзору за монтажом,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87085A" w:rsidRDefault="005810A0">
      <w:pPr>
        <w:pStyle w:val="afa"/>
        <w:widowControl w:val="0"/>
        <w:numPr>
          <w:ilvl w:val="1"/>
          <w:numId w:val="24"/>
        </w:numPr>
        <w:tabs>
          <w:tab w:val="left" w:pos="1134"/>
        </w:tabs>
        <w:jc w:val="both"/>
        <w:rPr>
          <w:b/>
        </w:rPr>
      </w:pPr>
      <w:r>
        <w:rPr>
          <w:b/>
          <w:bCs/>
          <w:iCs/>
        </w:rPr>
        <w:t>Срок поставки</w:t>
      </w:r>
    </w:p>
    <w:p w:rsidR="0087085A" w:rsidRDefault="005810A0">
      <w:pPr>
        <w:widowControl w:val="0"/>
        <w:tabs>
          <w:tab w:val="left" w:pos="1134"/>
        </w:tabs>
        <w:ind w:firstLine="709"/>
        <w:jc w:val="both"/>
        <w:rPr>
          <w:rFonts w:ascii="Times New Roman CYR" w:hAnsi="Times New Roman CYR" w:cs="Times New Roman CYR"/>
          <w:bCs/>
        </w:rPr>
      </w:pPr>
      <w:r>
        <w:t>Поставка осуществляется в период с 10.01.2025 в течение 60 календарных дней</w:t>
      </w:r>
    </w:p>
    <w:p w:rsidR="0087085A" w:rsidRDefault="005810A0">
      <w:pPr>
        <w:pStyle w:val="afa"/>
        <w:widowControl w:val="0"/>
        <w:numPr>
          <w:ilvl w:val="1"/>
          <w:numId w:val="24"/>
        </w:numPr>
        <w:tabs>
          <w:tab w:val="left" w:pos="1134"/>
        </w:tabs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Предельная цена поставки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60"/>
        <w:gridCol w:w="1663"/>
      </w:tblGrid>
      <w:tr w:rsidR="0087085A">
        <w:trPr>
          <w:trHeight w:val="338"/>
        </w:trPr>
        <w:tc>
          <w:tcPr>
            <w:tcW w:w="2160" w:type="dxa"/>
            <w:shd w:val="clear" w:color="auto" w:fill="auto"/>
          </w:tcPr>
          <w:p w:rsidR="0087085A" w:rsidRDefault="001E2A4D">
            <w:pPr>
              <w:jc w:val="center"/>
              <w:rPr>
                <w:b/>
              </w:rPr>
            </w:pPr>
            <w:r>
              <w:rPr>
                <w:b/>
              </w:rPr>
              <w:t>648 564,86</w:t>
            </w:r>
          </w:p>
        </w:tc>
        <w:tc>
          <w:tcPr>
            <w:tcW w:w="1663" w:type="dxa"/>
            <w:shd w:val="clear" w:color="auto" w:fill="auto"/>
          </w:tcPr>
          <w:p w:rsidR="0087085A" w:rsidRDefault="005810A0">
            <w:pPr>
              <w:pStyle w:val="afa"/>
              <w:widowControl w:val="0"/>
              <w:tabs>
                <w:tab w:val="left" w:pos="1134"/>
              </w:tabs>
              <w:ind w:left="0"/>
              <w:jc w:val="both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руб., без НДС</w:t>
            </w:r>
          </w:p>
        </w:tc>
      </w:tr>
      <w:tr w:rsidR="0087085A">
        <w:trPr>
          <w:trHeight w:val="338"/>
        </w:trPr>
        <w:tc>
          <w:tcPr>
            <w:tcW w:w="2160" w:type="dxa"/>
            <w:shd w:val="clear" w:color="auto" w:fill="auto"/>
          </w:tcPr>
          <w:p w:rsidR="0087085A" w:rsidRDefault="001E2A4D">
            <w:pPr>
              <w:jc w:val="center"/>
              <w:rPr>
                <w:b/>
              </w:rPr>
            </w:pPr>
            <w:r>
              <w:rPr>
                <w:b/>
              </w:rPr>
              <w:t>778 277,83</w:t>
            </w:r>
          </w:p>
        </w:tc>
        <w:tc>
          <w:tcPr>
            <w:tcW w:w="1663" w:type="dxa"/>
            <w:shd w:val="clear" w:color="auto" w:fill="auto"/>
          </w:tcPr>
          <w:p w:rsidR="0087085A" w:rsidRDefault="005810A0">
            <w:pPr>
              <w:pStyle w:val="afa"/>
              <w:widowControl w:val="0"/>
              <w:tabs>
                <w:tab w:val="left" w:pos="1134"/>
              </w:tabs>
              <w:ind w:left="0"/>
              <w:jc w:val="both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руб., с НДС</w:t>
            </w:r>
          </w:p>
        </w:tc>
      </w:tr>
    </w:tbl>
    <w:p w:rsidR="0087085A" w:rsidRDefault="005810A0">
      <w:pPr>
        <w:pStyle w:val="afa"/>
        <w:widowControl w:val="0"/>
        <w:numPr>
          <w:ilvl w:val="1"/>
          <w:numId w:val="24"/>
        </w:numPr>
        <w:tabs>
          <w:tab w:val="left" w:pos="1134"/>
        </w:tabs>
        <w:jc w:val="both"/>
        <w:rPr>
          <w:b/>
        </w:rPr>
      </w:pPr>
      <w:r>
        <w:rPr>
          <w:b/>
          <w:bCs/>
          <w:iCs/>
        </w:rPr>
        <w:t>Объём поставки</w:t>
      </w:r>
    </w:p>
    <w:p w:rsidR="0087085A" w:rsidRDefault="005810A0">
      <w:pPr>
        <w:widowControl w:val="0"/>
        <w:tabs>
          <w:tab w:val="left" w:pos="709"/>
          <w:tab w:val="left" w:pos="1134"/>
        </w:tabs>
        <w:ind w:firstLine="709"/>
        <w:jc w:val="both"/>
        <w:rPr>
          <w:rFonts w:ascii="Times New Roman CYR" w:hAnsi="Times New Roman CYR" w:cs="Times New Roman CYR"/>
          <w:bCs/>
        </w:rPr>
      </w:pPr>
      <w:r>
        <w:t>Перечень и объёмы поставки указаны в Приложении №1</w:t>
      </w:r>
      <w:r>
        <w:rPr>
          <w:rFonts w:ascii="Times New Roman CYR" w:hAnsi="Times New Roman CYR" w:cs="Times New Roman CYR"/>
          <w:bCs/>
        </w:rPr>
        <w:t>.</w:t>
      </w:r>
      <w:bookmarkStart w:id="11" w:name="_GoBack"/>
      <w:bookmarkEnd w:id="11"/>
    </w:p>
    <w:p w:rsidR="0087085A" w:rsidRDefault="0087085A">
      <w:pPr>
        <w:widowControl w:val="0"/>
        <w:tabs>
          <w:tab w:val="left" w:pos="709"/>
          <w:tab w:val="left" w:pos="1134"/>
        </w:tabs>
        <w:ind w:firstLine="709"/>
        <w:jc w:val="both"/>
        <w:rPr>
          <w:rFonts w:ascii="Times New Roman CYR" w:hAnsi="Times New Roman CYR" w:cs="Times New Roman CYR"/>
          <w:bCs/>
        </w:rPr>
      </w:pPr>
    </w:p>
    <w:p w:rsidR="0087085A" w:rsidRDefault="005810A0">
      <w:pPr>
        <w:pStyle w:val="afa"/>
        <w:widowControl w:val="0"/>
        <w:numPr>
          <w:ilvl w:val="0"/>
          <w:numId w:val="24"/>
        </w:numPr>
        <w:tabs>
          <w:tab w:val="left" w:pos="993"/>
        </w:tabs>
        <w:ind w:left="709" w:firstLine="0"/>
        <w:rPr>
          <w:rFonts w:ascii="Times New Roman CYR" w:hAnsi="Times New Roman CYR" w:cs="Times New Roman CYR"/>
          <w:sz w:val="25"/>
          <w:szCs w:val="25"/>
        </w:rPr>
      </w:pPr>
      <w:bookmarkStart w:id="12" w:name="_Toc322511659"/>
      <w:bookmarkEnd w:id="10"/>
      <w:r>
        <w:rPr>
          <w:rFonts w:ascii="Times New Roman CYR" w:hAnsi="Times New Roman CYR" w:cs="Times New Roman CYR"/>
          <w:b/>
          <w:bCs/>
          <w:sz w:val="25"/>
          <w:szCs w:val="25"/>
        </w:rPr>
        <w:t>Общие технические требования</w:t>
      </w:r>
      <w:bookmarkEnd w:id="12"/>
    </w:p>
    <w:p w:rsidR="0087085A" w:rsidRDefault="005810A0">
      <w:pPr>
        <w:widowControl w:val="0"/>
        <w:numPr>
          <w:ilvl w:val="1"/>
          <w:numId w:val="24"/>
        </w:numPr>
        <w:tabs>
          <w:tab w:val="left" w:pos="1134"/>
        </w:tabs>
        <w:ind w:left="0" w:firstLine="710"/>
        <w:jc w:val="both"/>
      </w:pPr>
      <w:r>
        <w:t xml:space="preserve">Продукция (товар) должна быть новой, ранее не использованной, годом выпуска не ранее 4 квартала 2024 года, </w:t>
      </w:r>
      <w:r>
        <w:rPr>
          <w:bCs/>
        </w:rPr>
        <w:t>приборы учета электроэнергии должны иметь дату поверки не более 6 месяцев на дату поставки</w:t>
      </w:r>
      <w:r>
        <w:t xml:space="preserve">. </w:t>
      </w:r>
    </w:p>
    <w:p w:rsidR="0087085A" w:rsidRDefault="005810A0">
      <w:pPr>
        <w:pStyle w:val="afa"/>
        <w:numPr>
          <w:ilvl w:val="1"/>
          <w:numId w:val="24"/>
        </w:numPr>
        <w:ind w:left="0" w:firstLine="710"/>
        <w:jc w:val="both"/>
      </w:pPr>
      <w:r>
        <w:t>К поставке допускается оборудование, включенное в Перечень оборудования, материалов и систем, допущенных к применению на объектах ДЗО Общества в соответствии с Методикой проведения аттестации оборудования, материалов и систем в электросетевом комплексе, утвержденной Правлением ПАО «Россети», либо допущенное к применению комиссией ДЗО ПАО «Россети» по допуску оборудования, материалов и систем для применения на объектах электросетевого комплекса ДЗО ПАО «Россети» (протокол заседания Правления ОАО «Россети» от 31.03.2014 № 225пр).</w:t>
      </w:r>
    </w:p>
    <w:p w:rsidR="0087085A" w:rsidRDefault="005810A0">
      <w:pPr>
        <w:widowControl w:val="0"/>
        <w:numPr>
          <w:ilvl w:val="1"/>
          <w:numId w:val="24"/>
        </w:numPr>
        <w:tabs>
          <w:tab w:val="left" w:pos="1134"/>
        </w:tabs>
        <w:ind w:left="0" w:firstLine="698"/>
        <w:jc w:val="both"/>
      </w:pPr>
      <w:r>
        <w:t>Типы применяемых компонентов систем учета (приборы учета электрической энергии, измерительные трансформаторы и т.д.) электроэнергии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измерений.</w:t>
      </w:r>
    </w:p>
    <w:p w:rsidR="0087085A" w:rsidRDefault="005810A0">
      <w:pPr>
        <w:widowControl w:val="0"/>
        <w:numPr>
          <w:ilvl w:val="1"/>
          <w:numId w:val="24"/>
        </w:numPr>
        <w:tabs>
          <w:tab w:val="left" w:pos="1134"/>
        </w:tabs>
        <w:ind w:left="0" w:firstLine="710"/>
        <w:jc w:val="both"/>
      </w:pPr>
      <w:r>
        <w:t>Вся сопроводительная документация должна быть составлена на русском языке и передана заказчику вместе с поставляемой продукцией (товаром).</w:t>
      </w:r>
    </w:p>
    <w:p w:rsidR="0087085A" w:rsidRDefault="005810A0">
      <w:pPr>
        <w:widowControl w:val="0"/>
        <w:numPr>
          <w:ilvl w:val="1"/>
          <w:numId w:val="24"/>
        </w:numPr>
        <w:tabs>
          <w:tab w:val="left" w:pos="1276"/>
        </w:tabs>
        <w:ind w:left="0" w:firstLine="710"/>
        <w:jc w:val="both"/>
      </w:pPr>
      <w:r>
        <w:t>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87085A" w:rsidRDefault="005810A0">
      <w:pPr>
        <w:widowControl w:val="0"/>
        <w:numPr>
          <w:ilvl w:val="1"/>
          <w:numId w:val="24"/>
        </w:numPr>
        <w:tabs>
          <w:tab w:val="left" w:pos="1276"/>
        </w:tabs>
        <w:ind w:left="0" w:firstLine="710"/>
        <w:jc w:val="both"/>
      </w:pPr>
      <w:r>
        <w:t>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87085A" w:rsidRDefault="005810A0">
      <w:pPr>
        <w:widowControl w:val="0"/>
        <w:numPr>
          <w:ilvl w:val="1"/>
          <w:numId w:val="24"/>
        </w:numPr>
        <w:tabs>
          <w:tab w:val="left" w:pos="1276"/>
        </w:tabs>
        <w:ind w:left="0" w:firstLine="710"/>
        <w:jc w:val="both"/>
      </w:pPr>
      <w: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87085A" w:rsidRDefault="00C4765C">
      <w:pPr>
        <w:pStyle w:val="afa"/>
        <w:numPr>
          <w:ilvl w:val="1"/>
          <w:numId w:val="24"/>
        </w:numPr>
        <w:ind w:left="0" w:firstLine="710"/>
        <w:jc w:val="both"/>
      </w:pPr>
      <w:r>
        <w:t>Требования к надписям и логотипам, размещаемым на закупаемом оборудовании, должны соответствовать СТО 34.01-5.1-009-2021 ПАО «Россети» «Приборы учета электроэнергии. Общие технические требования» (за исключением требований к заводу-изготовителю и сервисным центрам) (</w:t>
      </w:r>
      <w:hyperlink r:id="rId9" w:history="1">
        <w:r>
          <w:rPr>
            <w:rStyle w:val="afe"/>
            <w:rFonts w:ascii="Calibri" w:eastAsia="Arial" w:hAnsi="Calibri" w:cs="Calibri"/>
          </w:rPr>
          <w:t>https://www.rosseti.ru/upload/iblock/3a5/i0lkfj20uafvn53dp2hhp6b5axtu7s1z.pdf</w:t>
        </w:r>
      </w:hyperlink>
      <w:r>
        <w:t xml:space="preserve">) и СТО 34.01-5.1-010-2021 ПАО «Россети» «Устройства сбора и передачи данных электроэнергии. Общие </w:t>
      </w:r>
      <w:r>
        <w:lastRenderedPageBreak/>
        <w:t>технические требования» (</w:t>
      </w:r>
      <w:hyperlink r:id="rId10" w:history="1">
        <w:r>
          <w:rPr>
            <w:rStyle w:val="afe"/>
            <w:rFonts w:ascii="Calibri" w:eastAsia="Arial" w:hAnsi="Calibri" w:cs="Calibri"/>
          </w:rPr>
          <w:t>https://www.rosseti.ru/upload/iblock/c37/9ksts0vcu2y4ah0t3w623sf8dgw5dcdf.pdf</w:t>
        </w:r>
      </w:hyperlink>
      <w:r>
        <w:t>), дополнительные требования приведены в Приложении №2 к Технической части</w:t>
      </w:r>
      <w:r w:rsidR="005810A0">
        <w:t>.</w:t>
      </w:r>
    </w:p>
    <w:p w:rsidR="0087085A" w:rsidRDefault="005810A0">
      <w:pPr>
        <w:widowControl w:val="0"/>
        <w:numPr>
          <w:ilvl w:val="1"/>
          <w:numId w:val="24"/>
        </w:numPr>
        <w:tabs>
          <w:tab w:val="left" w:pos="1276"/>
        </w:tabs>
        <w:ind w:left="0" w:firstLine="709"/>
        <w:jc w:val="both"/>
        <w:rPr>
          <w:bCs/>
        </w:rPr>
      </w:pPr>
      <w:r>
        <w:rPr>
          <w:bCs/>
        </w:rPr>
        <w:t>Закупаемая продукция должна иметь возможность интеграции в существующий информационно-вычислительный комплекс верхнего уровня (ИВК ВУ) «Пирамида-Сети» без применения промежуточного программного обеспечения.</w:t>
      </w:r>
    </w:p>
    <w:p w:rsidR="0087085A" w:rsidRDefault="005810A0">
      <w:pPr>
        <w:widowControl w:val="0"/>
        <w:numPr>
          <w:ilvl w:val="1"/>
          <w:numId w:val="24"/>
        </w:numPr>
        <w:tabs>
          <w:tab w:val="left" w:pos="1276"/>
        </w:tabs>
        <w:ind w:left="0" w:firstLine="710"/>
        <w:jc w:val="both"/>
        <w:rPr>
          <w:bCs/>
        </w:rPr>
      </w:pPr>
      <w:r>
        <w:rPr>
          <w:bCs/>
        </w:rPr>
        <w:t>Закупаемая продукция на момент поставки должна соответствовать требованиям Правил доступа к минимальному набору функций интеллектуального учета электроэнергии, утвержденных постановлением Правительства РФ от 19.06.2020 №890.</w:t>
      </w:r>
    </w:p>
    <w:p w:rsidR="0087085A" w:rsidRDefault="0087085A">
      <w:pPr>
        <w:widowControl w:val="0"/>
        <w:tabs>
          <w:tab w:val="left" w:pos="1276"/>
        </w:tabs>
        <w:jc w:val="both"/>
        <w:rPr>
          <w:bCs/>
        </w:rPr>
      </w:pPr>
    </w:p>
    <w:p w:rsidR="0087085A" w:rsidRDefault="0087085A">
      <w:pPr>
        <w:widowControl w:val="0"/>
        <w:rPr>
          <w:sz w:val="8"/>
          <w:szCs w:val="8"/>
        </w:rPr>
      </w:pPr>
    </w:p>
    <w:p w:rsidR="0087085A" w:rsidRDefault="005810A0">
      <w:pPr>
        <w:pStyle w:val="afa"/>
        <w:widowControl w:val="0"/>
        <w:numPr>
          <w:ilvl w:val="0"/>
          <w:numId w:val="24"/>
        </w:numPr>
        <w:tabs>
          <w:tab w:val="left" w:pos="993"/>
        </w:tabs>
        <w:ind w:left="709" w:firstLine="0"/>
        <w:rPr>
          <w:rFonts w:ascii="Times New Roman CYR" w:hAnsi="Times New Roman CYR" w:cs="Times New Roman CYR"/>
          <w:i/>
          <w:sz w:val="25"/>
          <w:szCs w:val="25"/>
        </w:rPr>
      </w:pPr>
      <w:r>
        <w:rPr>
          <w:rFonts w:ascii="Times New Roman CYR" w:hAnsi="Times New Roman CYR" w:cs="Times New Roman CYR"/>
          <w:b/>
          <w:bCs/>
          <w:sz w:val="25"/>
          <w:szCs w:val="25"/>
        </w:rPr>
        <w:t>Требования к информационно-измерительным комплексам</w:t>
      </w:r>
    </w:p>
    <w:p w:rsidR="0087085A" w:rsidRDefault="005810A0">
      <w:pPr>
        <w:pStyle w:val="10"/>
        <w:widowControl w:val="0"/>
        <w:numPr>
          <w:ilvl w:val="0"/>
          <w:numId w:val="0"/>
        </w:numPr>
        <w:tabs>
          <w:tab w:val="left" w:pos="708"/>
        </w:tabs>
        <w:spacing w:before="0" w:after="0"/>
        <w:ind w:firstLine="709"/>
      </w:pPr>
      <w:bookmarkStart w:id="13" w:name="_Toc322511665"/>
      <w:r>
        <w:t>Типы применяемых приборов учёта электроэнергии должны быть утверждены федеральным органом исполнительной власти по техническому регулированию и метрологии, внесены в Федеральный информационный фонд по обеспечению единства измерений, должны обеспечивать технические и функциональные возможности. Конструкция элементов приборов учета должна предусматривать установку пломб сетевой организацией.</w:t>
      </w:r>
    </w:p>
    <w:p w:rsidR="0087085A" w:rsidRDefault="005810A0">
      <w:pPr>
        <w:pStyle w:val="10"/>
        <w:widowControl w:val="0"/>
        <w:numPr>
          <w:ilvl w:val="0"/>
          <w:numId w:val="0"/>
        </w:numPr>
        <w:tabs>
          <w:tab w:val="left" w:pos="708"/>
        </w:tabs>
        <w:spacing w:before="0" w:after="0"/>
        <w:ind w:firstLine="709"/>
      </w:pPr>
      <w:r>
        <w:t>По способу установки прибора учета допускается монтаж в щит учета, или на DIN-рейку, или на опору – в соответствии рекомендациями «Типовые технические решения</w:t>
      </w:r>
      <w:r>
        <w:br/>
        <w:t>ПАО «Россети» по организации интеллектуального учета электроэнергии» (Приложение №3). Для отображения показаний и наблюдения за индикатором функционирования, прибор учета электрической энергии должен быть оборудован встроенным дисплеем и/или укомплектован удаленным (выносным) дисплеем.</w:t>
      </w:r>
    </w:p>
    <w:p w:rsidR="0087085A" w:rsidRDefault="005810A0">
      <w:pPr>
        <w:widowControl w:val="0"/>
        <w:ind w:firstLine="709"/>
        <w:jc w:val="both"/>
      </w:pPr>
      <w:r>
        <w:t>Комплект поставки прибора учета электроэнергии должен включать:</w:t>
      </w:r>
    </w:p>
    <w:p w:rsidR="0087085A" w:rsidRDefault="005810A0">
      <w:pPr>
        <w:pStyle w:val="afa"/>
        <w:widowControl w:val="0"/>
        <w:tabs>
          <w:tab w:val="left" w:pos="993"/>
        </w:tabs>
        <w:ind w:left="0" w:firstLine="709"/>
        <w:jc w:val="both"/>
      </w:pPr>
      <w:r>
        <w:t xml:space="preserve">- прибор учета электроэнергии (для приборов учета </w:t>
      </w:r>
      <w:r>
        <w:rPr>
          <w:lang w:val="en-US"/>
        </w:rPr>
        <w:t>split</w:t>
      </w:r>
      <w:r>
        <w:t xml:space="preserve"> – исполнения также монтажный комплект для его установки и удаленный (выносной) дисплей);</w:t>
      </w:r>
    </w:p>
    <w:p w:rsidR="0087085A" w:rsidRDefault="005810A0">
      <w:pPr>
        <w:pStyle w:val="afa"/>
        <w:widowControl w:val="0"/>
        <w:tabs>
          <w:tab w:val="left" w:pos="993"/>
        </w:tabs>
        <w:ind w:left="0" w:firstLine="709"/>
        <w:jc w:val="both"/>
      </w:pPr>
      <w:r>
        <w:t>- комплект эксплуатационной документации (руководство по эксплуатации, паспорт (паспорт-формуляр), оформленные по ГОСТ 2.601;</w:t>
      </w:r>
    </w:p>
    <w:p w:rsidR="0087085A" w:rsidRDefault="005810A0">
      <w:pPr>
        <w:pStyle w:val="afa"/>
        <w:widowControl w:val="0"/>
        <w:tabs>
          <w:tab w:val="left" w:pos="993"/>
        </w:tabs>
        <w:ind w:left="0" w:firstLine="709"/>
        <w:jc w:val="both"/>
      </w:pPr>
      <w:r>
        <w:t>- методику поверки на партию приборов учета (или в качестве подраздела в составе ЭД);</w:t>
      </w:r>
    </w:p>
    <w:p w:rsidR="0087085A" w:rsidRDefault="005810A0">
      <w:pPr>
        <w:pStyle w:val="afa"/>
        <w:widowControl w:val="0"/>
        <w:tabs>
          <w:tab w:val="left" w:pos="993"/>
        </w:tabs>
        <w:ind w:left="0" w:firstLine="709"/>
        <w:jc w:val="both"/>
      </w:pPr>
      <w:r>
        <w:t xml:space="preserve">- действующее свидетельство о поверке (или знак поверки в паспорте (паспорте-формуляре)); </w:t>
      </w:r>
    </w:p>
    <w:p w:rsidR="0087085A" w:rsidRDefault="005810A0">
      <w:pPr>
        <w:pStyle w:val="afa"/>
        <w:widowControl w:val="0"/>
        <w:tabs>
          <w:tab w:val="left" w:pos="993"/>
        </w:tabs>
        <w:ind w:left="0" w:firstLine="709"/>
        <w:jc w:val="both"/>
      </w:pPr>
      <w:r>
        <w:t>- сервисное ПО (версия ПО согласно описанию типа, на прибор учета);</w:t>
      </w:r>
    </w:p>
    <w:p w:rsidR="0087085A" w:rsidRDefault="005810A0">
      <w:pPr>
        <w:pStyle w:val="afa"/>
        <w:widowControl w:val="0"/>
        <w:tabs>
          <w:tab w:val="left" w:pos="993"/>
        </w:tabs>
        <w:ind w:left="0" w:firstLine="709"/>
        <w:jc w:val="both"/>
      </w:pPr>
      <w:r>
        <w:t>- транспортная тара.</w:t>
      </w:r>
    </w:p>
    <w:p w:rsidR="0087085A" w:rsidRDefault="005810A0">
      <w:pPr>
        <w:pStyle w:val="3"/>
        <w:numPr>
          <w:ilvl w:val="1"/>
          <w:numId w:val="45"/>
        </w:numPr>
        <w:spacing w:before="0"/>
        <w:rPr>
          <w:i w:val="0"/>
          <w:lang w:val="ru-RU"/>
        </w:rPr>
      </w:pPr>
      <w:r>
        <w:rPr>
          <w:i w:val="0"/>
          <w:lang w:val="ru-RU"/>
        </w:rPr>
        <w:t>Общие функциональные возможности</w:t>
      </w:r>
    </w:p>
    <w:p w:rsidR="0087085A" w:rsidRDefault="005810A0">
      <w:pPr>
        <w:widowControl w:val="0"/>
        <w:contextualSpacing/>
        <w:jc w:val="both"/>
        <w:rPr>
          <w:lang w:eastAsia="en-US"/>
        </w:rPr>
      </w:pPr>
      <w:r>
        <w:rPr>
          <w:lang w:eastAsia="en-US" w:bidi="en-US"/>
        </w:rPr>
        <w:t xml:space="preserve">           </w:t>
      </w:r>
      <w:r>
        <w:rPr>
          <w:lang w:eastAsia="en-US"/>
        </w:rPr>
        <w:t xml:space="preserve">Для определения требований к приборам учета электроэнергии руководствоваться СТО </w:t>
      </w:r>
      <w:r>
        <w:rPr>
          <w:bCs/>
          <w:iCs/>
          <w:lang w:eastAsia="en-US"/>
        </w:rPr>
        <w:t xml:space="preserve">34.01-5.1-009-2021 </w:t>
      </w:r>
      <w:r>
        <w:rPr>
          <w:lang w:eastAsia="en-US"/>
        </w:rPr>
        <w:t xml:space="preserve">ПАО «Россети» «Приборы учета электроэнергии. Технические требования» (за исключением требований к заводу-изготовителю и сервисным центрам) </w:t>
      </w:r>
      <w:hyperlink r:id="rId11" w:history="1">
        <w:r w:rsidR="00C4765C">
          <w:rPr>
            <w:rStyle w:val="afe"/>
            <w:rFonts w:ascii="Calibri" w:eastAsia="Arial" w:hAnsi="Calibri" w:cs="Calibri"/>
          </w:rPr>
          <w:t>https://www.rosseti.ru/upload/iblock/3a5/i0lkfj20uafvn53dp2hhp6b5axtu7s1z.pdf</w:t>
        </w:r>
      </w:hyperlink>
      <w:r>
        <w:rPr>
          <w:lang w:eastAsia="en-US"/>
        </w:rPr>
        <w:t>.</w:t>
      </w:r>
    </w:p>
    <w:p w:rsidR="00602965" w:rsidRDefault="00602965">
      <w:pPr>
        <w:widowControl w:val="0"/>
        <w:contextualSpacing/>
        <w:jc w:val="both"/>
        <w:rPr>
          <w:lang w:eastAsia="en-US"/>
        </w:rPr>
      </w:pPr>
    </w:p>
    <w:p w:rsidR="00602965" w:rsidRPr="00602965" w:rsidRDefault="00602965" w:rsidP="00602965">
      <w:pPr>
        <w:pStyle w:val="afa"/>
        <w:widowControl w:val="0"/>
        <w:numPr>
          <w:ilvl w:val="0"/>
          <w:numId w:val="45"/>
        </w:numPr>
        <w:jc w:val="both"/>
        <w:rPr>
          <w:b/>
          <w:lang w:eastAsia="en-US" w:bidi="en-US"/>
        </w:rPr>
      </w:pPr>
      <w:r w:rsidRPr="00602965">
        <w:rPr>
          <w:b/>
          <w:lang w:eastAsia="en-US" w:bidi="en-US"/>
        </w:rPr>
        <w:t>Требования к ИВКЭ (УСПД).</w:t>
      </w:r>
    </w:p>
    <w:p w:rsidR="00602965" w:rsidRDefault="00602965" w:rsidP="00602965">
      <w:pPr>
        <w:pStyle w:val="afa"/>
        <w:widowControl w:val="0"/>
        <w:ind w:left="0" w:firstLine="709"/>
        <w:jc w:val="both"/>
        <w:rPr>
          <w:lang w:eastAsia="en-US" w:bidi="en-US"/>
        </w:rPr>
      </w:pPr>
      <w:r>
        <w:rPr>
          <w:lang w:eastAsia="en-US" w:bidi="en-US"/>
        </w:rPr>
        <w:t xml:space="preserve">При наличии в системе уровня ИВКЭ, он организуется с использованием УСПД, который выполняет функции промежуточного сбора и хранения данных учета электроэнергии, а также предоставление   интерфейса   доступа   со   стороны   ИВК   ВУ   к   приборам   учета   и   собранной информации. </w:t>
      </w:r>
    </w:p>
    <w:p w:rsidR="00602965" w:rsidRDefault="00602965" w:rsidP="00602965">
      <w:pPr>
        <w:pStyle w:val="afa"/>
        <w:widowControl w:val="0"/>
        <w:ind w:left="0" w:firstLine="709"/>
        <w:jc w:val="both"/>
        <w:rPr>
          <w:lang w:eastAsia="en-US" w:bidi="en-US"/>
        </w:rPr>
      </w:pPr>
      <w:r>
        <w:rPr>
          <w:lang w:eastAsia="en-US" w:bidi="en-US"/>
        </w:rPr>
        <w:t>Для   определения   требований   к   основным   техническим   характеристикам   УСПД руководствоваться   СТО   34.01-5.1-010-2021 «Устройства   сбора   и   передачи   данных.   Общие технические   требования» (за   исключением   требований   к   заводу-изгото</w:t>
      </w:r>
      <w:r w:rsidR="00C4765C">
        <w:rPr>
          <w:lang w:eastAsia="en-US" w:bidi="en-US"/>
        </w:rPr>
        <w:t>вителю   и   сервисным центрам)</w:t>
      </w:r>
      <w:r w:rsidR="00C4765C">
        <w:rPr>
          <w:rFonts w:ascii="Calibri" w:eastAsia="Arial" w:hAnsi="Calibri" w:cs="Calibri"/>
        </w:rPr>
        <w:t xml:space="preserve"> </w:t>
      </w:r>
      <w:hyperlink r:id="rId12" w:history="1">
        <w:r w:rsidR="00C4765C">
          <w:rPr>
            <w:rStyle w:val="afe"/>
            <w:rFonts w:ascii="Calibri" w:eastAsia="Arial" w:hAnsi="Calibri" w:cs="Calibri"/>
          </w:rPr>
          <w:t>https://www.rosseti.ru/upload/iblock/c37/9ksts0vcu2y4ah0t3w623sf8dgw5dcdf.pdf</w:t>
        </w:r>
      </w:hyperlink>
      <w:r>
        <w:rPr>
          <w:lang w:eastAsia="en-US" w:bidi="en-US"/>
        </w:rPr>
        <w:t>.</w:t>
      </w:r>
    </w:p>
    <w:p w:rsidR="00602965" w:rsidRDefault="00602965" w:rsidP="00602965">
      <w:pPr>
        <w:pStyle w:val="afa"/>
        <w:widowControl w:val="0"/>
        <w:ind w:left="0" w:firstLine="709"/>
        <w:jc w:val="both"/>
        <w:rPr>
          <w:lang w:eastAsia="en-US" w:bidi="en-US"/>
        </w:rPr>
      </w:pPr>
      <w:r>
        <w:rPr>
          <w:lang w:eastAsia="en-US" w:bidi="en-US"/>
        </w:rPr>
        <w:t>В части телесигнализации ИВКЭ осуществляет информирование в соответствии с пп. 6.1.6,6.5, приложение   1</w:t>
      </w:r>
      <w:r w:rsidR="00C4765C">
        <w:rPr>
          <w:lang w:eastAsia="en-US" w:bidi="en-US"/>
        </w:rPr>
        <w:t xml:space="preserve">   к   СТО   34.01-21-005-2019 </w:t>
      </w:r>
      <w:r>
        <w:rPr>
          <w:lang w:eastAsia="en-US" w:bidi="en-US"/>
        </w:rPr>
        <w:t>«Цифровая   электрическая   сеть.   Требования   к проектированию цифровых распределительных электрических сетей 0,4-220 кВ».</w:t>
      </w:r>
    </w:p>
    <w:p w:rsidR="00602965" w:rsidRDefault="00602965" w:rsidP="00602965">
      <w:pPr>
        <w:pStyle w:val="afa"/>
        <w:widowControl w:val="0"/>
        <w:ind w:left="0" w:firstLine="709"/>
        <w:jc w:val="both"/>
        <w:rPr>
          <w:lang w:eastAsia="en-US" w:bidi="en-US"/>
        </w:rPr>
      </w:pPr>
      <w:r>
        <w:rPr>
          <w:lang w:eastAsia="en-US" w:bidi="en-US"/>
        </w:rPr>
        <w:t>Выносной   шкаф   с   УСПД   должен   быть   оснащен   сигнализацией   о   вскрытии.   События вскрытия шкафа должны инициативно передаваться через УСПД в ИВК ВУ и ОИК ЦУС.</w:t>
      </w:r>
    </w:p>
    <w:p w:rsidR="00602965" w:rsidRDefault="00602965" w:rsidP="00602965">
      <w:pPr>
        <w:pStyle w:val="afa"/>
        <w:widowControl w:val="0"/>
        <w:ind w:left="0" w:firstLine="709"/>
        <w:jc w:val="both"/>
        <w:rPr>
          <w:lang w:eastAsia="en-US" w:bidi="en-US"/>
        </w:rPr>
      </w:pPr>
      <w:r>
        <w:rPr>
          <w:lang w:eastAsia="en-US" w:bidi="en-US"/>
        </w:rPr>
        <w:lastRenderedPageBreak/>
        <w:t>При параметрировании ИВКЭ в «Журнале событий» автоматически должно фиксироваться это   событие   с   указанием   даты   и   времени   и   отправляться   на   ИВК   ВУ   без   применения промежуточного программного обеспечения.</w:t>
      </w:r>
    </w:p>
    <w:bookmarkEnd w:id="13"/>
    <w:p w:rsidR="0087085A" w:rsidRDefault="0087085A">
      <w:pPr>
        <w:widowControl w:val="0"/>
        <w:contextualSpacing/>
        <w:jc w:val="both"/>
        <w:rPr>
          <w:lang w:eastAsia="en-US" w:bidi="en-US"/>
        </w:rPr>
      </w:pPr>
    </w:p>
    <w:p w:rsidR="0087085A" w:rsidRPr="00602965" w:rsidRDefault="005810A0" w:rsidP="00602965">
      <w:pPr>
        <w:pStyle w:val="afa"/>
        <w:widowControl w:val="0"/>
        <w:numPr>
          <w:ilvl w:val="0"/>
          <w:numId w:val="45"/>
        </w:numPr>
        <w:tabs>
          <w:tab w:val="left" w:pos="993"/>
        </w:tabs>
        <w:rPr>
          <w:rFonts w:ascii="Times New Roman CYR" w:hAnsi="Times New Roman CYR" w:cs="Times New Roman CYR"/>
          <w:i/>
          <w:sz w:val="25"/>
          <w:szCs w:val="25"/>
        </w:rPr>
      </w:pPr>
      <w:r w:rsidRPr="00602965">
        <w:rPr>
          <w:rFonts w:ascii="Times New Roman CYR" w:hAnsi="Times New Roman CYR" w:cs="Times New Roman CYR"/>
          <w:b/>
          <w:bCs/>
          <w:sz w:val="25"/>
          <w:szCs w:val="25"/>
        </w:rPr>
        <w:t>Требования к надёжности и безопасности</w:t>
      </w:r>
    </w:p>
    <w:p w:rsidR="0087085A" w:rsidRDefault="005810A0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bookmarkStart w:id="14" w:name="_Toc294183635"/>
      <w:bookmarkStart w:id="15" w:name="_Toc322511669"/>
      <w:r>
        <w:t>Комплекс технических средств системы учета с удаленным сбором данных по показателям надежности должны соответствовать требованиям ГОСТ 27883-88 и требованиям технического регламента Таможенного союза ТС 004/2011 «О безопасности низковольтного оборудования».</w:t>
      </w:r>
    </w:p>
    <w:p w:rsidR="0087085A" w:rsidRDefault="005810A0">
      <w:pPr>
        <w:pStyle w:val="10"/>
        <w:numPr>
          <w:ilvl w:val="0"/>
          <w:numId w:val="0"/>
        </w:numPr>
        <w:tabs>
          <w:tab w:val="left" w:pos="709"/>
        </w:tabs>
        <w:spacing w:before="0" w:after="0"/>
        <w:rPr>
          <w:lang w:bidi="ar-SA"/>
        </w:rPr>
      </w:pPr>
      <w:r>
        <w:rPr>
          <w:lang w:bidi="ar-SA"/>
        </w:rPr>
        <w:tab/>
        <w:t>Система учета электроэнергии должна удовлетворять требованиям международных и российских нормативных документов по безопасности.</w:t>
      </w:r>
    </w:p>
    <w:p w:rsidR="0087085A" w:rsidRDefault="005810A0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r>
        <w:t>Все элементы системы учета должны быть защищены:</w:t>
      </w:r>
    </w:p>
    <w:p w:rsidR="0087085A" w:rsidRDefault="005810A0">
      <w:pPr>
        <w:pStyle w:val="1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bidi="ar-SA"/>
        </w:rPr>
      </w:pPr>
      <w:r>
        <w:rPr>
          <w:lang w:bidi="ar-SA"/>
        </w:rPr>
        <w:t>- от внезапных отключений напряжения питания аппаратуры;</w:t>
      </w:r>
    </w:p>
    <w:p w:rsidR="0087085A" w:rsidRDefault="005810A0">
      <w:pPr>
        <w:pStyle w:val="1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bidi="ar-SA"/>
        </w:rPr>
      </w:pPr>
      <w:r>
        <w:rPr>
          <w:lang w:bidi="ar-SA"/>
        </w:rPr>
        <w:t>- от помех и искажений при передаче информации;</w:t>
      </w:r>
    </w:p>
    <w:p w:rsidR="0087085A" w:rsidRDefault="005810A0">
      <w:pPr>
        <w:pStyle w:val="1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bidi="ar-SA"/>
        </w:rPr>
      </w:pPr>
      <w:r>
        <w:rPr>
          <w:lang w:bidi="ar-SA"/>
        </w:rPr>
        <w:t>- от влияния отклонений температурных параметров, влажности, электромагнитных полей по условиям работы аппаратуры;</w:t>
      </w:r>
    </w:p>
    <w:p w:rsidR="0087085A" w:rsidRDefault="005810A0">
      <w:pPr>
        <w:pStyle w:val="1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bidi="ar-SA"/>
        </w:rPr>
      </w:pPr>
      <w:r>
        <w:rPr>
          <w:lang w:bidi="ar-SA"/>
        </w:rPr>
        <w:t>- от несанкционированного доступа.</w:t>
      </w:r>
    </w:p>
    <w:p w:rsidR="0087085A" w:rsidRDefault="0087085A">
      <w:pPr>
        <w:pStyle w:val="1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bidi="ar-SA"/>
        </w:rPr>
      </w:pPr>
    </w:p>
    <w:p w:rsidR="0087085A" w:rsidRDefault="005810A0" w:rsidP="00602965">
      <w:pPr>
        <w:pStyle w:val="afa"/>
        <w:widowControl w:val="0"/>
        <w:numPr>
          <w:ilvl w:val="0"/>
          <w:numId w:val="45"/>
        </w:numPr>
        <w:tabs>
          <w:tab w:val="left" w:pos="993"/>
        </w:tabs>
        <w:ind w:left="709" w:firstLine="0"/>
        <w:rPr>
          <w:rFonts w:ascii="Times New Roman CYR" w:hAnsi="Times New Roman CYR" w:cs="Times New Roman CYR"/>
          <w:i/>
          <w:sz w:val="25"/>
          <w:szCs w:val="25"/>
        </w:rPr>
      </w:pPr>
      <w:r>
        <w:rPr>
          <w:rFonts w:ascii="Times New Roman CYR" w:hAnsi="Times New Roman CYR" w:cs="Times New Roman CYR"/>
          <w:b/>
          <w:bCs/>
          <w:sz w:val="25"/>
          <w:szCs w:val="25"/>
        </w:rPr>
        <w:t>Метрологические и другие требования к оборудованию</w:t>
      </w:r>
      <w:bookmarkEnd w:id="14"/>
      <w:bookmarkEnd w:id="15"/>
    </w:p>
    <w:p w:rsidR="0087085A" w:rsidRDefault="005810A0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bookmarkStart w:id="16" w:name="_Toc279588785"/>
      <w:bookmarkStart w:id="17" w:name="_Toc279733247"/>
      <w:bookmarkStart w:id="18" w:name="_Toc279750381"/>
      <w:bookmarkStart w:id="19" w:name="_Toc285618466"/>
      <w:bookmarkStart w:id="20" w:name="_Toc294183637"/>
      <w:bookmarkStart w:id="21" w:name="_Toc322511670"/>
      <w:r>
        <w:t>Средства измерения входящие в состав системы учета электроэнергии должны иметь:</w:t>
      </w:r>
    </w:p>
    <w:p w:rsidR="0087085A" w:rsidRDefault="005810A0">
      <w:pPr>
        <w:pStyle w:val="10"/>
        <w:numPr>
          <w:ilvl w:val="0"/>
          <w:numId w:val="41"/>
        </w:numPr>
        <w:tabs>
          <w:tab w:val="clear" w:pos="720"/>
          <w:tab w:val="left" w:pos="993"/>
        </w:tabs>
        <w:spacing w:before="0" w:after="0"/>
        <w:ind w:left="0" w:firstLine="698"/>
      </w:pPr>
      <w:r>
        <w:t>свидетельство об утверждении типа средств измерений Федерального агентства по техническому регулированию и метрологии (РОССТАНДАРТ) и описание типа средств измерений при вводе в опытную эксплуатацию;</w:t>
      </w:r>
    </w:p>
    <w:p w:rsidR="0087085A" w:rsidRDefault="005810A0">
      <w:pPr>
        <w:pStyle w:val="10"/>
        <w:numPr>
          <w:ilvl w:val="0"/>
          <w:numId w:val="41"/>
        </w:numPr>
        <w:tabs>
          <w:tab w:val="clear" w:pos="720"/>
          <w:tab w:val="num" w:pos="851"/>
          <w:tab w:val="left" w:pos="993"/>
        </w:tabs>
        <w:spacing w:before="0" w:after="0"/>
        <w:ind w:left="0" w:firstLine="567"/>
      </w:pPr>
      <w:r>
        <w:t>паспорта (формуляры) на приборы учета с указанием сроков поверки с датой поверки не более 6 месяцев на дату поставки;</w:t>
      </w:r>
    </w:p>
    <w:p w:rsidR="0087085A" w:rsidRDefault="005810A0">
      <w:pPr>
        <w:pStyle w:val="10"/>
        <w:numPr>
          <w:ilvl w:val="0"/>
          <w:numId w:val="41"/>
        </w:numPr>
        <w:tabs>
          <w:tab w:val="left" w:pos="993"/>
        </w:tabs>
        <w:spacing w:before="0" w:after="0"/>
        <w:ind w:left="0" w:firstLine="624"/>
      </w:pPr>
      <w:r>
        <w:t>руководство по монтажу;</w:t>
      </w:r>
    </w:p>
    <w:p w:rsidR="0087085A" w:rsidRDefault="005810A0">
      <w:pPr>
        <w:pStyle w:val="10"/>
        <w:numPr>
          <w:ilvl w:val="0"/>
          <w:numId w:val="41"/>
        </w:numPr>
        <w:tabs>
          <w:tab w:val="left" w:pos="993"/>
        </w:tabs>
        <w:spacing w:before="0" w:after="0"/>
        <w:ind w:left="0" w:firstLine="624"/>
      </w:pPr>
      <w:r>
        <w:t>руководство по эксплуатации;</w:t>
      </w:r>
    </w:p>
    <w:p w:rsidR="0087085A" w:rsidRDefault="005810A0">
      <w:pPr>
        <w:pStyle w:val="10"/>
        <w:numPr>
          <w:ilvl w:val="0"/>
          <w:numId w:val="41"/>
        </w:numPr>
        <w:tabs>
          <w:tab w:val="left" w:pos="993"/>
        </w:tabs>
        <w:spacing w:before="0" w:after="0"/>
        <w:ind w:left="0" w:firstLine="624"/>
      </w:pPr>
      <w:r>
        <w:t>руководство пользователя (для программного обеспечения).</w:t>
      </w:r>
    </w:p>
    <w:p w:rsidR="0087085A" w:rsidRDefault="0087085A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</w:p>
    <w:p w:rsidR="0087085A" w:rsidRDefault="002714F1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  <w:r>
        <w:rPr>
          <w:rFonts w:ascii="Times New Roman CYR" w:hAnsi="Times New Roman CYR" w:cs="Times New Roman CYR"/>
          <w:i w:val="0"/>
          <w:iCs w:val="0"/>
          <w:sz w:val="25"/>
          <w:szCs w:val="25"/>
        </w:rPr>
        <w:t>7</w:t>
      </w:r>
      <w:r w:rsidR="005810A0">
        <w:rPr>
          <w:rFonts w:ascii="Times New Roman CYR" w:hAnsi="Times New Roman CYR" w:cs="Times New Roman CYR"/>
          <w:i w:val="0"/>
          <w:iCs w:val="0"/>
          <w:sz w:val="25"/>
          <w:szCs w:val="25"/>
        </w:rPr>
        <w:t>. Требования к электромагнитной совместимости</w:t>
      </w:r>
      <w:bookmarkEnd w:id="16"/>
      <w:bookmarkEnd w:id="17"/>
      <w:bookmarkEnd w:id="18"/>
      <w:bookmarkEnd w:id="19"/>
      <w:bookmarkEnd w:id="20"/>
      <w:bookmarkEnd w:id="21"/>
    </w:p>
    <w:p w:rsidR="0087085A" w:rsidRDefault="005810A0">
      <w:pPr>
        <w:pStyle w:val="10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</w:pPr>
      <w:bookmarkStart w:id="22" w:name="_Toc44935230"/>
      <w:bookmarkStart w:id="23" w:name="_Toc279588787"/>
      <w:bookmarkStart w:id="24" w:name="_Toc279733249"/>
      <w:bookmarkStart w:id="25" w:name="_Toc279750383"/>
      <w:bookmarkStart w:id="26" w:name="_Toc285618468"/>
      <w:bookmarkStart w:id="27" w:name="_Toc294183639"/>
      <w:bookmarkStart w:id="28" w:name="_Toc322511671"/>
      <w:r>
        <w:t>Устройства системы учета должны 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:rsidR="0087085A" w:rsidRDefault="0087085A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</w:p>
    <w:p w:rsidR="0087085A" w:rsidRDefault="002714F1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  <w:r>
        <w:rPr>
          <w:rFonts w:ascii="Times New Roman CYR" w:hAnsi="Times New Roman CYR" w:cs="Times New Roman CYR"/>
          <w:i w:val="0"/>
          <w:iCs w:val="0"/>
          <w:sz w:val="25"/>
          <w:szCs w:val="25"/>
        </w:rPr>
        <w:t>8</w:t>
      </w:r>
      <w:r w:rsidR="005810A0">
        <w:rPr>
          <w:rFonts w:ascii="Times New Roman CYR" w:hAnsi="Times New Roman CYR" w:cs="Times New Roman CYR"/>
          <w:i w:val="0"/>
          <w:iCs w:val="0"/>
          <w:sz w:val="25"/>
          <w:szCs w:val="25"/>
        </w:rPr>
        <w:t>. Требования по эксплуатации, техническому обслуживанию, ремонту и хранению</w:t>
      </w:r>
      <w:bookmarkEnd w:id="22"/>
      <w:bookmarkEnd w:id="23"/>
      <w:bookmarkEnd w:id="24"/>
      <w:bookmarkEnd w:id="25"/>
      <w:bookmarkEnd w:id="26"/>
      <w:bookmarkEnd w:id="27"/>
      <w:bookmarkEnd w:id="28"/>
    </w:p>
    <w:p w:rsidR="0087085A" w:rsidRDefault="005810A0">
      <w:pPr>
        <w:pStyle w:val="10"/>
        <w:numPr>
          <w:ilvl w:val="0"/>
          <w:numId w:val="40"/>
        </w:numPr>
        <w:tabs>
          <w:tab w:val="left" w:pos="993"/>
        </w:tabs>
        <w:spacing w:before="0" w:after="0"/>
        <w:ind w:left="0" w:firstLine="680"/>
      </w:pPr>
      <w:bookmarkStart w:id="29" w:name="_Toc279588812"/>
      <w:bookmarkStart w:id="30" w:name="_Toc279733256"/>
      <w:bookmarkStart w:id="31" w:name="_Toc279750390"/>
      <w:bookmarkStart w:id="32" w:name="_Toc285618475"/>
      <w:bookmarkStart w:id="33" w:name="_Toc294183648"/>
      <w:bookmarkStart w:id="34" w:name="_Toc322511678"/>
      <w:r>
        <w:t>оборудование системы учета электроэнергии должно обеспечивать непрерывную работу в пределах срока службы при условии проведения ремонтно-восстановительных работ;</w:t>
      </w:r>
    </w:p>
    <w:p w:rsidR="0087085A" w:rsidRDefault="005810A0">
      <w:pPr>
        <w:pStyle w:val="10"/>
        <w:numPr>
          <w:ilvl w:val="0"/>
          <w:numId w:val="40"/>
        </w:numPr>
        <w:tabs>
          <w:tab w:val="left" w:pos="993"/>
        </w:tabs>
        <w:spacing w:before="0" w:after="0"/>
        <w:ind w:left="0" w:firstLine="680"/>
      </w:pPr>
      <w:r>
        <w:t>восстановление работоспособности системы учета электроэнергии должно производиться путем замены неисправных модулей, с последующим ремонтом за счет средств Подрядчика (для гарантийных случаев), вышедших из строя модулей в период гарантийного срока;</w:t>
      </w:r>
    </w:p>
    <w:p w:rsidR="0087085A" w:rsidRDefault="005810A0">
      <w:pPr>
        <w:pStyle w:val="10"/>
        <w:numPr>
          <w:ilvl w:val="0"/>
          <w:numId w:val="40"/>
        </w:numPr>
        <w:tabs>
          <w:tab w:val="left" w:pos="993"/>
        </w:tabs>
        <w:spacing w:before="0" w:after="0"/>
        <w:ind w:left="0" w:firstLine="680"/>
      </w:pPr>
      <w:r>
        <w:t>технические средства системы учета электроэнергии должны быть обслуживаемыми устройствами;</w:t>
      </w:r>
    </w:p>
    <w:p w:rsidR="0087085A" w:rsidRDefault="005810A0">
      <w:pPr>
        <w:pStyle w:val="10"/>
        <w:numPr>
          <w:ilvl w:val="0"/>
          <w:numId w:val="40"/>
        </w:numPr>
        <w:tabs>
          <w:tab w:val="left" w:pos="993"/>
        </w:tabs>
        <w:spacing w:before="0" w:after="0"/>
        <w:ind w:left="0" w:firstLine="680"/>
      </w:pPr>
      <w:r>
        <w:t>условия хранения технических средств системы учета электроэнергии должны отвечать требованиям ГОСТ 15150-69.</w:t>
      </w:r>
    </w:p>
    <w:p w:rsidR="0087085A" w:rsidRDefault="0087085A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</w:p>
    <w:p w:rsidR="0087085A" w:rsidRDefault="002714F1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  <w:r>
        <w:rPr>
          <w:rFonts w:ascii="Times New Roman CYR" w:hAnsi="Times New Roman CYR" w:cs="Times New Roman CYR"/>
          <w:i w:val="0"/>
          <w:iCs w:val="0"/>
          <w:sz w:val="25"/>
          <w:szCs w:val="25"/>
        </w:rPr>
        <w:t>9</w:t>
      </w:r>
      <w:r w:rsidR="005810A0">
        <w:rPr>
          <w:rFonts w:ascii="Times New Roman CYR" w:hAnsi="Times New Roman CYR" w:cs="Times New Roman CYR"/>
          <w:i w:val="0"/>
          <w:iCs w:val="0"/>
          <w:sz w:val="25"/>
          <w:szCs w:val="25"/>
        </w:rPr>
        <w:t xml:space="preserve">. </w:t>
      </w:r>
      <w:bookmarkEnd w:id="29"/>
      <w:bookmarkEnd w:id="30"/>
      <w:bookmarkEnd w:id="31"/>
      <w:bookmarkEnd w:id="32"/>
      <w:bookmarkEnd w:id="33"/>
      <w:bookmarkEnd w:id="34"/>
      <w:r w:rsidR="005810A0">
        <w:rPr>
          <w:rFonts w:ascii="Times New Roman CYR" w:hAnsi="Times New Roman CYR" w:cs="Times New Roman CYR"/>
          <w:i w:val="0"/>
          <w:iCs w:val="0"/>
          <w:sz w:val="25"/>
          <w:szCs w:val="25"/>
        </w:rPr>
        <w:t>Требования к эксплуатационной документации</w:t>
      </w:r>
    </w:p>
    <w:p w:rsidR="0087085A" w:rsidRDefault="005810A0">
      <w:pPr>
        <w:widowControl w:val="0"/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bookmarkStart w:id="35" w:name="_Toc279750397"/>
      <w:bookmarkStart w:id="36" w:name="_Toc285618482"/>
      <w:bookmarkStart w:id="37" w:name="_Toc294183655"/>
      <w:bookmarkStart w:id="38" w:name="_Toc322511681"/>
      <w:bookmarkStart w:id="39" w:name="_Toc279588816"/>
      <w:bookmarkStart w:id="40" w:name="_Toc279733260"/>
      <w:bookmarkStart w:id="41" w:name="_Toc279750394"/>
      <w:bookmarkStart w:id="42" w:name="_Toc285618479"/>
      <w:bookmarkStart w:id="43" w:name="_Toc294183652"/>
      <w:bookmarkStart w:id="44" w:name="_Toc44935236"/>
      <w:r>
        <w:t xml:space="preserve">Эксплуатационная документация на системы учета электроэнергии должна содержать следующую информацию: </w:t>
      </w:r>
    </w:p>
    <w:p w:rsidR="0087085A" w:rsidRDefault="005810A0">
      <w:pPr>
        <w:pStyle w:val="10"/>
        <w:widowControl w:val="0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>
        <w:t>перечень средств измерений в составе информационно-измерительного комплекса с указанием их номинальных параметров и классов точности;</w:t>
      </w:r>
    </w:p>
    <w:p w:rsidR="0087085A" w:rsidRDefault="005810A0">
      <w:pPr>
        <w:pStyle w:val="10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>
        <w:t>схема подключения прибора учета электроэнергии и трансформаторов тока;</w:t>
      </w:r>
    </w:p>
    <w:p w:rsidR="0087085A" w:rsidRDefault="005810A0">
      <w:pPr>
        <w:pStyle w:val="10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>
        <w:t>паспорта-протоколы;</w:t>
      </w:r>
    </w:p>
    <w:p w:rsidR="0087085A" w:rsidRDefault="005810A0">
      <w:pPr>
        <w:pStyle w:val="10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>
        <w:t>паспорта на оборудование системы учета электроэнергии;</w:t>
      </w:r>
    </w:p>
    <w:p w:rsidR="0087085A" w:rsidRDefault="005810A0">
      <w:pPr>
        <w:pStyle w:val="10"/>
        <w:widowControl w:val="0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>
        <w:lastRenderedPageBreak/>
        <w:t>исходные данные;</w:t>
      </w:r>
    </w:p>
    <w:p w:rsidR="0087085A" w:rsidRDefault="005810A0">
      <w:pPr>
        <w:pStyle w:val="10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>
        <w:t>руководство пользователя на компоненты, входящие в систему учета;</w:t>
      </w:r>
    </w:p>
    <w:p w:rsidR="0087085A" w:rsidRDefault="005810A0">
      <w:pPr>
        <w:pStyle w:val="10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>
        <w:t>технологическая инструкция, определяющая порядок взаимодействия составляющих системы учета элементов, их функциональные особенности, возможности по контролю выполнения каждым элементом системы учета законченной технологической функции;</w:t>
      </w:r>
    </w:p>
    <w:p w:rsidR="0087085A" w:rsidRDefault="005810A0">
      <w:pPr>
        <w:pStyle w:val="10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>
        <w:t>инструкция по эксплуатации,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цепей, методы и действия персонала по контролю и поддержанию эксплуатационного состояния системы, а также и при выполнении аварийно-восстановительных мероприятий;</w:t>
      </w:r>
    </w:p>
    <w:p w:rsidR="0087085A" w:rsidRDefault="005810A0">
      <w:pPr>
        <w:pStyle w:val="10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>
        <w:t>акты выполненных работ по проверке, замене, установке ПУ.</w:t>
      </w:r>
    </w:p>
    <w:p w:rsidR="0087085A" w:rsidRDefault="0087085A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</w:p>
    <w:p w:rsidR="0087085A" w:rsidRDefault="002714F1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  <w:r>
        <w:rPr>
          <w:rFonts w:ascii="Times New Roman CYR" w:hAnsi="Times New Roman CYR" w:cs="Times New Roman CYR"/>
          <w:i w:val="0"/>
          <w:iCs w:val="0"/>
          <w:sz w:val="25"/>
          <w:szCs w:val="25"/>
        </w:rPr>
        <w:t>10</w:t>
      </w:r>
      <w:r w:rsidR="005810A0">
        <w:rPr>
          <w:rFonts w:ascii="Times New Roman CYR" w:hAnsi="Times New Roman CYR" w:cs="Times New Roman CYR"/>
          <w:i w:val="0"/>
          <w:iCs w:val="0"/>
          <w:sz w:val="25"/>
          <w:szCs w:val="25"/>
        </w:rPr>
        <w:t xml:space="preserve">. Требования к </w:t>
      </w:r>
      <w:bookmarkEnd w:id="35"/>
      <w:bookmarkEnd w:id="36"/>
      <w:bookmarkEnd w:id="37"/>
      <w:bookmarkEnd w:id="38"/>
      <w:r w:rsidR="005810A0">
        <w:rPr>
          <w:rFonts w:ascii="Times New Roman CYR" w:hAnsi="Times New Roman CYR" w:cs="Times New Roman CYR"/>
          <w:i w:val="0"/>
          <w:iCs w:val="0"/>
          <w:sz w:val="25"/>
          <w:szCs w:val="25"/>
        </w:rPr>
        <w:t>технической поддержке</w:t>
      </w:r>
    </w:p>
    <w:p w:rsidR="0087085A" w:rsidRDefault="005810A0">
      <w:pPr>
        <w:pStyle w:val="10"/>
        <w:widowControl w:val="0"/>
        <w:spacing w:before="0" w:after="0"/>
      </w:pPr>
      <w:r>
        <w:t>При возникновении у персонала Покупателя проблем по интеграции оборудования с ИВК ВУ «Пирамида-Сети», Поставщик обеспечивает удаленное методологическое сопровождение персонала Покупателя по их устранению не позднее 2 (двух) рабочих дней с момента обращения;</w:t>
      </w:r>
    </w:p>
    <w:p w:rsidR="0087085A" w:rsidRDefault="005810A0">
      <w:pPr>
        <w:pStyle w:val="10"/>
        <w:widowControl w:val="0"/>
        <w:spacing w:before="0" w:after="0"/>
      </w:pPr>
      <w:r>
        <w:t>При невозможности решения проблем по интеграции оборудования в удаленном режиме Поставщик обеспечивает выезд своих представителей к Покупателю для их решения на месте не позднее 10 (десяти) рабочих дней с момента принятия решения;</w:t>
      </w:r>
    </w:p>
    <w:p w:rsidR="0087085A" w:rsidRDefault="005810A0">
      <w:pPr>
        <w:pStyle w:val="10"/>
        <w:widowControl w:val="0"/>
        <w:numPr>
          <w:ilvl w:val="0"/>
          <w:numId w:val="0"/>
        </w:numPr>
        <w:tabs>
          <w:tab w:val="num" w:pos="720"/>
        </w:tabs>
        <w:spacing w:before="0" w:after="0"/>
        <w:ind w:left="720"/>
      </w:pPr>
      <w:r>
        <w:t>Методологическое обеспечение осуществляется Поставщиком в течении 1 (одного) года с момента поставки оборудования.</w:t>
      </w:r>
      <w:bookmarkEnd w:id="39"/>
      <w:bookmarkEnd w:id="40"/>
      <w:bookmarkEnd w:id="41"/>
      <w:bookmarkEnd w:id="42"/>
      <w:bookmarkEnd w:id="43"/>
      <w:bookmarkEnd w:id="44"/>
    </w:p>
    <w:p w:rsidR="0087085A" w:rsidRDefault="0087085A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</w:p>
    <w:p w:rsidR="0087085A" w:rsidRDefault="002714F1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sz w:val="25"/>
          <w:szCs w:val="25"/>
        </w:rPr>
      </w:pPr>
      <w:r>
        <w:rPr>
          <w:rFonts w:ascii="Times New Roman CYR" w:hAnsi="Times New Roman CYR" w:cs="Times New Roman CYR"/>
          <w:i w:val="0"/>
          <w:iCs w:val="0"/>
          <w:sz w:val="25"/>
          <w:szCs w:val="25"/>
        </w:rPr>
        <w:t>11</w:t>
      </w:r>
      <w:r w:rsidR="005810A0">
        <w:rPr>
          <w:rFonts w:ascii="Times New Roman CYR" w:hAnsi="Times New Roman CYR" w:cs="Times New Roman CYR"/>
          <w:i w:val="0"/>
          <w:iCs w:val="0"/>
          <w:sz w:val="25"/>
          <w:szCs w:val="25"/>
        </w:rPr>
        <w:t xml:space="preserve">. Требования к поставке и приемке </w:t>
      </w:r>
      <w:r w:rsidR="005810A0">
        <w:rPr>
          <w:rFonts w:ascii="Times New Roman" w:hAnsi="Times New Roman"/>
          <w:i w:val="0"/>
          <w:iCs w:val="0"/>
          <w:sz w:val="25"/>
          <w:szCs w:val="25"/>
        </w:rPr>
        <w:t xml:space="preserve">продукции </w:t>
      </w:r>
      <w:r w:rsidR="005810A0">
        <w:rPr>
          <w:rFonts w:ascii="Times New Roman" w:hAnsi="Times New Roman"/>
          <w:i w:val="0"/>
          <w:sz w:val="25"/>
          <w:szCs w:val="25"/>
        </w:rPr>
        <w:t>(товара)</w:t>
      </w:r>
    </w:p>
    <w:p w:rsidR="0087085A" w:rsidRDefault="005810A0">
      <w:pPr>
        <w:pStyle w:val="10"/>
        <w:widowControl w:val="0"/>
        <w:numPr>
          <w:ilvl w:val="0"/>
          <w:numId w:val="0"/>
        </w:numPr>
        <w:spacing w:before="0" w:after="0"/>
        <w:ind w:firstLine="709"/>
      </w:pPr>
      <w: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87085A" w:rsidRDefault="005810A0">
      <w:pPr>
        <w:pStyle w:val="10"/>
        <w:widowControl w:val="0"/>
        <w:numPr>
          <w:ilvl w:val="0"/>
          <w:numId w:val="0"/>
        </w:numPr>
        <w:spacing w:before="0" w:after="0"/>
        <w:ind w:firstLine="709"/>
      </w:pPr>
      <w: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87085A" w:rsidRDefault="005810A0">
      <w:pPr>
        <w:ind w:firstLine="709"/>
        <w:jc w:val="both"/>
      </w:pPr>
      <w:r>
        <w:t>При приемке продукции осуществляется:</w:t>
      </w:r>
    </w:p>
    <w:p w:rsidR="0087085A" w:rsidRDefault="005810A0">
      <w:pPr>
        <w:ind w:firstLine="709"/>
        <w:jc w:val="both"/>
      </w:pPr>
      <w:r>
        <w:t>– внешний осмотр тары и упаковки:</w:t>
      </w:r>
    </w:p>
    <w:p w:rsidR="0087085A" w:rsidRDefault="005810A0">
      <w:pPr>
        <w:ind w:firstLine="709"/>
        <w:jc w:val="both"/>
      </w:pPr>
      <w:r>
        <w:t>– проверку соответствия количества отгруженных и поступивших поставочных мест;</w:t>
      </w:r>
    </w:p>
    <w:p w:rsidR="0087085A" w:rsidRDefault="005810A0">
      <w:pPr>
        <w:tabs>
          <w:tab w:val="left" w:pos="8789"/>
        </w:tabs>
        <w:ind w:firstLine="709"/>
        <w:jc w:val="both"/>
      </w:pPr>
      <w: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87085A" w:rsidRDefault="005810A0">
      <w:pPr>
        <w:tabs>
          <w:tab w:val="left" w:pos="8789"/>
        </w:tabs>
        <w:ind w:firstLine="709"/>
        <w:jc w:val="both"/>
      </w:pPr>
      <w: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87085A" w:rsidRDefault="005810A0">
      <w:pPr>
        <w:tabs>
          <w:tab w:val="left" w:pos="8789"/>
        </w:tabs>
        <w:ind w:firstLine="709"/>
        <w:jc w:val="both"/>
      </w:pPr>
      <w: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87085A" w:rsidRDefault="005810A0">
      <w:pPr>
        <w:pStyle w:val="10"/>
        <w:widowControl w:val="0"/>
        <w:numPr>
          <w:ilvl w:val="0"/>
          <w:numId w:val="0"/>
        </w:numPr>
        <w:spacing w:before="0" w:after="0"/>
        <w:ind w:firstLine="709"/>
      </w:pPr>
      <w: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87085A" w:rsidRDefault="005810A0">
      <w:pPr>
        <w:pStyle w:val="10"/>
        <w:widowControl w:val="0"/>
        <w:numPr>
          <w:ilvl w:val="0"/>
          <w:numId w:val="0"/>
        </w:numPr>
        <w:spacing w:before="0" w:after="0"/>
        <w:ind w:firstLine="709"/>
      </w:pPr>
      <w:r>
        <w:t>В случае выявления дефектов, участник обязан за свой счет заменить поставленную продукцию.</w:t>
      </w:r>
    </w:p>
    <w:p w:rsidR="0087085A" w:rsidRDefault="0087085A"/>
    <w:p w:rsidR="0087085A" w:rsidRDefault="002714F1">
      <w:pPr>
        <w:pStyle w:val="11"/>
        <w:spacing w:before="0" w:after="0"/>
        <w:ind w:firstLine="709"/>
        <w:rPr>
          <w:sz w:val="25"/>
          <w:szCs w:val="25"/>
        </w:rPr>
      </w:pPr>
      <w:r>
        <w:rPr>
          <w:sz w:val="25"/>
          <w:szCs w:val="25"/>
        </w:rPr>
        <w:t>12</w:t>
      </w:r>
      <w:r w:rsidR="005810A0">
        <w:rPr>
          <w:sz w:val="25"/>
          <w:szCs w:val="25"/>
        </w:rPr>
        <w:t>. Гарантийные обязательства</w:t>
      </w:r>
    </w:p>
    <w:p w:rsidR="0087085A" w:rsidRDefault="005810A0">
      <w:pPr>
        <w:numPr>
          <w:ilvl w:val="1"/>
          <w:numId w:val="4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</w:pPr>
      <w:r>
        <w:t>Гарантии качества распространяются на все оборудование системы учета электроэнергии, ее конструктивные элементы.</w:t>
      </w:r>
    </w:p>
    <w:p w:rsidR="0087085A" w:rsidRDefault="005810A0">
      <w:pPr>
        <w:numPr>
          <w:ilvl w:val="1"/>
          <w:numId w:val="4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</w:pPr>
      <w:r>
        <w:t>Гарантийный срок нормальной эксплуатации оборудования входящего в систему учета устанавливается 60 (шестьдесят) месяцев с даты подписания сторонами актов приема-передачи оборудования (материалов).</w:t>
      </w:r>
    </w:p>
    <w:p w:rsidR="0087085A" w:rsidRDefault="005810A0">
      <w:pPr>
        <w:numPr>
          <w:ilvl w:val="1"/>
          <w:numId w:val="4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-142" w:firstLine="851"/>
        <w:jc w:val="both"/>
      </w:pPr>
      <w:r>
        <w:t xml:space="preserve">Гарантийный срок на соответствие поставляемого оборудования требованиям законодательства Российской Федерации (в том числе постановления Правительства Российской Федерации от 19.06.2020 № 890 «О порядке предоставления доступа к минимальному набору </w:t>
      </w:r>
      <w:r>
        <w:lastRenderedPageBreak/>
        <w:t>функций интеллектуальных систем учета электрической энергии (мощности)») и технического задания устанавливается 60 (шестьдесят) месяцев с даты поставки.</w:t>
      </w:r>
    </w:p>
    <w:p w:rsidR="0087085A" w:rsidRDefault="005810A0">
      <w:pPr>
        <w:widowControl w:val="0"/>
        <w:shd w:val="clear" w:color="auto" w:fill="FFFFFF"/>
        <w:ind w:firstLine="709"/>
        <w:jc w:val="both"/>
      </w:pPr>
      <w:r>
        <w:t>При выявлении дефекта Поставщик обязан:</w:t>
      </w:r>
    </w:p>
    <w:p w:rsidR="0087085A" w:rsidRDefault="005810A0">
      <w:pPr>
        <w:widowControl w:val="0"/>
        <w:shd w:val="clear" w:color="auto" w:fill="FFFFFF"/>
        <w:ind w:firstLine="709"/>
        <w:jc w:val="both"/>
      </w:pPr>
      <w:r>
        <w:t>-</w:t>
      </w:r>
      <w:r>
        <w:rPr>
          <w:lang w:val="en-US"/>
        </w:rPr>
        <w:t> </w:t>
      </w:r>
      <w:r>
        <w:t>обеспечить Покупателя необходимым техническими консультациями не позднее 1</w:t>
      </w:r>
      <w:r>
        <w:rPr>
          <w:lang w:val="en-US"/>
        </w:rPr>
        <w:t> </w:t>
      </w:r>
      <w:r>
        <w:t>(одного) часа по рабочим дням со дня обращения последнего с использованием любых доступных видов связи;</w:t>
      </w:r>
    </w:p>
    <w:p w:rsidR="0087085A" w:rsidRDefault="005810A0">
      <w:pPr>
        <w:widowControl w:val="0"/>
        <w:shd w:val="clear" w:color="auto" w:fill="FFFFFF"/>
        <w:ind w:firstLine="709"/>
        <w:jc w:val="both"/>
      </w:pPr>
      <w:r>
        <w:t>-</w:t>
      </w:r>
      <w:r>
        <w:rPr>
          <w:lang w:val="en-US"/>
        </w:rPr>
        <w:t> </w:t>
      </w:r>
      <w:r>
        <w:t xml:space="preserve">выполнить все необходимые мероприятия по определению причины возникшего дефекта и представить Покупателю соответствующее заключение в течение 10 (десяти) рабочих дней. </w:t>
      </w:r>
    </w:p>
    <w:p w:rsidR="0087085A" w:rsidRDefault="005810A0">
      <w:pPr>
        <w:ind w:firstLine="709"/>
        <w:jc w:val="both"/>
      </w:pPr>
      <w:r>
        <w:t>Для участия в составлении акта, фиксирующего дефекты, согласования порядка и сроков их устранения Поставщик обязан направить своего представителя не позднее 7</w:t>
      </w:r>
      <w:r>
        <w:rPr>
          <w:lang w:val="en-US"/>
        </w:rPr>
        <w:t> </w:t>
      </w:r>
      <w:r>
        <w:t>(семи) рабочих дней с даты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7085A" w:rsidRDefault="0087085A">
      <w:pPr>
        <w:widowControl w:val="0"/>
        <w:tabs>
          <w:tab w:val="left" w:pos="7797"/>
        </w:tabs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87085A" w:rsidRDefault="0087085A">
      <w:pPr>
        <w:widowControl w:val="0"/>
        <w:tabs>
          <w:tab w:val="left" w:pos="7797"/>
        </w:tabs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87085A" w:rsidRDefault="0087085A">
      <w:pPr>
        <w:widowControl w:val="0"/>
        <w:ind w:left="7799" w:firstLine="709"/>
        <w:sectPr w:rsidR="0087085A">
          <w:footerReference w:type="default" r:id="rId13"/>
          <w:pgSz w:w="12240" w:h="15840"/>
          <w:pgMar w:top="851" w:right="709" w:bottom="425" w:left="1276" w:header="624" w:footer="0" w:gutter="0"/>
          <w:cols w:space="720"/>
          <w:docGrid w:linePitch="360"/>
        </w:sectPr>
      </w:pPr>
    </w:p>
    <w:p w:rsidR="0087085A" w:rsidRDefault="005810A0">
      <w:pPr>
        <w:widowControl w:val="0"/>
        <w:jc w:val="right"/>
      </w:pPr>
      <w:r>
        <w:t>Приложение №2</w:t>
      </w:r>
    </w:p>
    <w:p w:rsidR="0087085A" w:rsidRDefault="005810A0">
      <w:pPr>
        <w:widowControl w:val="0"/>
        <w:jc w:val="right"/>
      </w:pPr>
      <w:r>
        <w:t>к техническому заданию</w:t>
      </w:r>
    </w:p>
    <w:p w:rsidR="0087085A" w:rsidRDefault="0087085A">
      <w:pPr>
        <w:widowControl w:val="0"/>
        <w:jc w:val="right"/>
      </w:pPr>
    </w:p>
    <w:p w:rsidR="0087085A" w:rsidRDefault="0087085A">
      <w:pPr>
        <w:widowControl w:val="0"/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"/>
        <w:gridCol w:w="9504"/>
      </w:tblGrid>
      <w:tr w:rsidR="0087085A">
        <w:tc>
          <w:tcPr>
            <w:tcW w:w="567" w:type="dxa"/>
            <w:shd w:val="clear" w:color="auto" w:fill="auto"/>
          </w:tcPr>
          <w:p w:rsidR="0087085A" w:rsidRDefault="0087085A">
            <w:pPr>
              <w:widowControl w:val="0"/>
              <w:jc w:val="both"/>
            </w:pPr>
          </w:p>
        </w:tc>
        <w:tc>
          <w:tcPr>
            <w:tcW w:w="7809" w:type="dxa"/>
            <w:shd w:val="clear" w:color="auto" w:fill="auto"/>
          </w:tcPr>
          <w:p w:rsidR="0087085A" w:rsidRDefault="0087085A">
            <w:pPr>
              <w:widowControl w:val="0"/>
              <w:jc w:val="center"/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127"/>
              <w:gridCol w:w="4134"/>
              <w:gridCol w:w="27"/>
            </w:tblGrid>
            <w:tr w:rsidR="0087085A">
              <w:tc>
                <w:tcPr>
                  <w:tcW w:w="5127" w:type="dxa"/>
                  <w:shd w:val="clear" w:color="auto" w:fill="auto"/>
                </w:tcPr>
                <w:p w:rsidR="0087085A" w:rsidRDefault="0087085A">
                  <w:pPr>
                    <w:widowControl w:val="0"/>
                    <w:jc w:val="both"/>
                  </w:pPr>
                </w:p>
              </w:tc>
              <w:tc>
                <w:tcPr>
                  <w:tcW w:w="5128" w:type="dxa"/>
                  <w:gridSpan w:val="2"/>
                  <w:shd w:val="clear" w:color="auto" w:fill="auto"/>
                </w:tcPr>
                <w:p w:rsidR="0087085A" w:rsidRDefault="0087085A">
                  <w:pPr>
                    <w:widowControl w:val="0"/>
                    <w:jc w:val="both"/>
                  </w:pPr>
                </w:p>
              </w:tc>
            </w:tr>
            <w:tr w:rsidR="0087085A">
              <w:trPr>
                <w:gridAfter w:val="1"/>
                <w:wAfter w:w="27" w:type="dxa"/>
              </w:trPr>
              <w:tc>
                <w:tcPr>
                  <w:tcW w:w="9356" w:type="dxa"/>
                  <w:gridSpan w:val="2"/>
                  <w:shd w:val="clear" w:color="auto" w:fill="auto"/>
                </w:tcPr>
                <w:p w:rsidR="0087085A" w:rsidRDefault="005810A0">
                  <w:pPr>
                    <w:keepLines/>
                    <w:widowControl w:val="0"/>
                    <w:ind w:right="-79"/>
                    <w:jc w:val="both"/>
                    <w:rPr>
                      <w:b/>
                      <w:i/>
                    </w:rPr>
                  </w:pPr>
                  <w:r>
                    <w:t xml:space="preserve"> </w:t>
                  </w:r>
                  <w:r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>
                            <wp:extent cx="4667250" cy="904875"/>
                            <wp:effectExtent l="0" t="0" r="0" b="9525"/>
                            <wp:docPr id="1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4"/>
                                    <a:srcRect l="12726" t="30167" r="15748" b="4512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667250" cy="904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 xmlns:cx1="http://schemas.microsoft.com/office/drawing/2015/9/8/chartex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0" o:spid="_x0000_s0" type="#_x0000_t75" style="width:367.50pt;height:71.25pt;mso-wrap-distance-left:0.00pt;mso-wrap-distance-top:0.00pt;mso-wrap-distance-right:0.00pt;mso-wrap-distance-bottom:0.00pt;" stroked="f">
                            <v:path textboxrect="0,0,0,0"/>
                            <v:imagedata r:id="rId15" o:title=""/>
                          </v:shape>
                        </w:pict>
                      </mc:Fallback>
                    </mc:AlternateContent>
                  </w:r>
                </w:p>
                <w:p w:rsidR="0087085A" w:rsidRDefault="0087085A">
                  <w:pPr>
                    <w:keepLines/>
                    <w:widowControl w:val="0"/>
                    <w:jc w:val="both"/>
                    <w:rPr>
                      <w:b/>
                      <w:i/>
                    </w:rPr>
                  </w:pPr>
                </w:p>
                <w:p w:rsidR="0087085A" w:rsidRDefault="005810A0">
                  <w:pPr>
                    <w:keepLines/>
                    <w:widowControl w:val="0"/>
                    <w:jc w:val="center"/>
                    <w:rPr>
                      <w:b/>
                      <w:i/>
                    </w:rPr>
                  </w:pPr>
                  <w:r>
                    <w:t>Рис.1 Фирменный цвет.</w:t>
                  </w:r>
                </w:p>
                <w:p w:rsidR="0087085A" w:rsidRDefault="0087085A">
                  <w:pPr>
                    <w:keepLines/>
                    <w:widowControl w:val="0"/>
                    <w:jc w:val="both"/>
                    <w:rPr>
                      <w:b/>
                      <w:i/>
                    </w:rPr>
                  </w:pPr>
                </w:p>
              </w:tc>
            </w:tr>
            <w:tr w:rsidR="0087085A">
              <w:trPr>
                <w:gridAfter w:val="1"/>
                <w:wAfter w:w="27" w:type="dxa"/>
              </w:trPr>
              <w:tc>
                <w:tcPr>
                  <w:tcW w:w="9356" w:type="dxa"/>
                  <w:gridSpan w:val="2"/>
                  <w:shd w:val="clear" w:color="auto" w:fill="auto"/>
                </w:tcPr>
                <w:p w:rsidR="0087085A" w:rsidRDefault="0087085A">
                  <w:pPr>
                    <w:keepLines/>
                    <w:widowControl w:val="0"/>
                    <w:jc w:val="both"/>
                    <w:rPr>
                      <w:b/>
                      <w:i/>
                    </w:rPr>
                  </w:pPr>
                </w:p>
                <w:p w:rsidR="0087085A" w:rsidRDefault="005810A0">
                  <w:pPr>
                    <w:keepLines/>
                    <w:widowControl w:val="0"/>
                    <w:jc w:val="center"/>
                    <w:rPr>
                      <w:b/>
                      <w:i/>
                    </w:rPr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>
                            <wp:extent cx="2571750" cy="809625"/>
                            <wp:effectExtent l="0" t="0" r="0" b="9525"/>
                            <wp:docPr id="2" name="Рисунок 7" descr="C:\Users\saproshin_ae\Desktop\Логотипы+на+прозрачном+фоне\Логотипы на прозрачном фоне\Синий лого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3" descr="C:\Users\saproshin_ae\Desktop\Логотипы+на+прозрачном+фоне\Логотипы на прозрачном фоне\Синий лого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71750" cy="809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 xmlns:cx1="http://schemas.microsoft.com/office/drawing/2015/9/8/chartex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1" o:spid="_x0000_s1" type="#_x0000_t75" style="width:202.50pt;height:63.75pt;mso-wrap-distance-left:0.00pt;mso-wrap-distance-top:0.00pt;mso-wrap-distance-right:0.00pt;mso-wrap-distance-bottom:0.00pt;" stroked="f">
                            <v:path textboxrect="0,0,0,0"/>
                            <v:imagedata r:id="rId17" o:title=""/>
                          </v:shape>
                        </w:pict>
                      </mc:Fallback>
                    </mc:AlternateContent>
                  </w:r>
                </w:p>
                <w:p w:rsidR="0087085A" w:rsidRDefault="0087085A">
                  <w:pPr>
                    <w:keepLines/>
                    <w:widowControl w:val="0"/>
                    <w:jc w:val="center"/>
                  </w:pPr>
                </w:p>
                <w:p w:rsidR="0087085A" w:rsidRDefault="005810A0">
                  <w:pPr>
                    <w:keepLines/>
                    <w:widowControl w:val="0"/>
                    <w:jc w:val="center"/>
                  </w:pPr>
                  <w:r>
                    <w:t>Рис.2 Начертание логотипа.</w:t>
                  </w:r>
                </w:p>
                <w:p w:rsidR="0087085A" w:rsidRDefault="0087085A">
                  <w:pPr>
                    <w:keepLines/>
                    <w:widowControl w:val="0"/>
                    <w:jc w:val="center"/>
                    <w:rPr>
                      <w:b/>
                      <w:i/>
                    </w:rPr>
                  </w:pPr>
                </w:p>
                <w:p w:rsidR="0087085A" w:rsidRDefault="0087085A">
                  <w:pPr>
                    <w:keepLines/>
                    <w:widowControl w:val="0"/>
                    <w:jc w:val="both"/>
                    <w:rPr>
                      <w:b/>
                      <w:i/>
                    </w:rPr>
                  </w:pPr>
                </w:p>
              </w:tc>
            </w:tr>
            <w:tr w:rsidR="0087085A">
              <w:trPr>
                <w:gridAfter w:val="1"/>
                <w:wAfter w:w="27" w:type="dxa"/>
              </w:trPr>
              <w:tc>
                <w:tcPr>
                  <w:tcW w:w="9356" w:type="dxa"/>
                  <w:gridSpan w:val="2"/>
                  <w:shd w:val="clear" w:color="auto" w:fill="auto"/>
                </w:tcPr>
                <w:p w:rsidR="0087085A" w:rsidRDefault="005810A0">
                  <w:pPr>
                    <w:keepLines/>
                    <w:widowControl w:val="0"/>
                    <w:jc w:val="center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>
                            <wp:extent cx="5743575" cy="2159710"/>
                            <wp:effectExtent l="0" t="0" r="0" b="0"/>
                            <wp:docPr id="3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8"/>
                                    <a:srcRect l="57484" t="35889" r="6825" b="40182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5778284" cy="21727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 xmlns:cx1="http://schemas.microsoft.com/office/drawing/2015/9/8/chartex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2" o:spid="_x0000_s2" type="#_x0000_t75" style="width:452.25pt;height:170.06pt;mso-wrap-distance-left:0.00pt;mso-wrap-distance-top:0.00pt;mso-wrap-distance-right:0.00pt;mso-wrap-distance-bottom:0.00pt;" stroked="f">
                            <v:path textboxrect="0,0,0,0"/>
                            <v:imagedata r:id="rId19" o:title=""/>
                          </v:shape>
                        </w:pict>
                      </mc:Fallback>
                    </mc:AlternateContent>
                  </w:r>
                </w:p>
                <w:p w:rsidR="0087085A" w:rsidRDefault="005810A0">
                  <w:pPr>
                    <w:keepLines/>
                    <w:widowControl w:val="0"/>
                    <w:jc w:val="center"/>
                  </w:pPr>
                  <w:r>
                    <w:t>Рис.3 Пропорции логотипа.</w:t>
                  </w:r>
                </w:p>
                <w:p w:rsidR="0087085A" w:rsidRDefault="0087085A">
                  <w:pPr>
                    <w:keepLines/>
                    <w:widowControl w:val="0"/>
                    <w:jc w:val="center"/>
                  </w:pPr>
                </w:p>
              </w:tc>
            </w:tr>
          </w:tbl>
          <w:p w:rsidR="0087085A" w:rsidRDefault="005810A0">
            <w:pPr>
              <w:keepLines/>
              <w:widowControl w:val="0"/>
              <w:ind w:firstLine="708"/>
              <w:jc w:val="both"/>
            </w:pPr>
            <w:r>
              <w:t>Габаритная длина (ширина) логотипа не поверхности должна составлять не более половины длины (ширины) самой поверхности. Размер логотипа на всех поверхностях должен быть идентичным. В абсолютном размере площадь габаритного макета должна стремиться к значению в пределах 5-8% от площади поверхности нанесения.</w:t>
            </w:r>
          </w:p>
          <w:p w:rsidR="0087085A" w:rsidRDefault="005810A0">
            <w:pPr>
              <w:keepLines/>
              <w:widowControl w:val="0"/>
              <w:jc w:val="both"/>
            </w:pPr>
            <w:r>
              <w:t xml:space="preserve">Цвет нанесения на серую поверхность: </w:t>
            </w:r>
            <w:r>
              <w:rPr>
                <w:lang w:val="en-US"/>
              </w:rPr>
              <w:t>Pantone</w:t>
            </w:r>
            <w:r>
              <w:t xml:space="preserve"> 301</w:t>
            </w:r>
            <w:r>
              <w:rPr>
                <w:lang w:val="en-US"/>
              </w:rPr>
              <w:t>C</w:t>
            </w:r>
            <w:r>
              <w:t>. Цвет нанесения на синюю поверхность: белый.</w:t>
            </w:r>
          </w:p>
          <w:p w:rsidR="0087085A" w:rsidRDefault="0087085A">
            <w:pPr>
              <w:keepNext/>
              <w:jc w:val="both"/>
            </w:pPr>
          </w:p>
          <w:p w:rsidR="0087085A" w:rsidRDefault="0087085A">
            <w:pPr>
              <w:widowControl w:val="0"/>
              <w:ind w:left="-1703"/>
              <w:jc w:val="both"/>
            </w:pPr>
          </w:p>
        </w:tc>
      </w:tr>
    </w:tbl>
    <w:p w:rsidR="0087085A" w:rsidRDefault="005810A0">
      <w:pPr>
        <w:keepNext/>
        <w:jc w:val="both"/>
      </w:pPr>
      <w:r>
        <w:t xml:space="preserve"> </w:t>
      </w:r>
    </w:p>
    <w:p w:rsidR="0087085A" w:rsidRDefault="0087085A">
      <w:pPr>
        <w:keepNext/>
        <w:jc w:val="both"/>
      </w:pPr>
    </w:p>
    <w:p w:rsidR="0087085A" w:rsidRDefault="0087085A">
      <w:pPr>
        <w:keepNext/>
        <w:jc w:val="both"/>
      </w:pPr>
    </w:p>
    <w:p w:rsidR="0087085A" w:rsidRDefault="0087085A">
      <w:pPr>
        <w:keepNext/>
        <w:jc w:val="both"/>
      </w:pPr>
    </w:p>
    <w:p w:rsidR="0087085A" w:rsidRDefault="0087085A">
      <w:pPr>
        <w:keepNext/>
        <w:jc w:val="both"/>
      </w:pPr>
    </w:p>
    <w:p w:rsidR="0087085A" w:rsidRDefault="0087085A">
      <w:pPr>
        <w:widowControl w:val="0"/>
        <w:jc w:val="both"/>
      </w:pPr>
    </w:p>
    <w:p w:rsidR="0087085A" w:rsidRDefault="005810A0">
      <w:pPr>
        <w:keepLines/>
        <w:widowControl w:val="0"/>
        <w:jc w:val="both"/>
      </w:pPr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87085A">
        <w:trPr>
          <w:trHeight w:val="4296"/>
        </w:trPr>
        <w:tc>
          <w:tcPr>
            <w:tcW w:w="2972" w:type="dxa"/>
            <w:shd w:val="clear" w:color="auto" w:fill="auto"/>
          </w:tcPr>
          <w:p w:rsidR="0087085A" w:rsidRDefault="005810A0">
            <w:pPr>
              <w:keepLines/>
              <w:widowControl w:val="0"/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590675" cy="2390775"/>
                      <wp:effectExtent l="0" t="0" r="9525" b="9525"/>
                      <wp:docPr id="4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90675" cy="2390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cx1="http://schemas.microsoft.com/office/drawing/2015/9/8/chartex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125.25pt;height:188.25pt;mso-wrap-distance-left:0.00pt;mso-wrap-distance-top:0.00pt;mso-wrap-distance-right:0.00pt;mso-wrap-distance-bottom:0.00pt;" stroked="f">
                      <v:path textboxrect="0,0,0,0"/>
                      <v:imagedata r:id="rId21" o:title=""/>
                    </v:shape>
                  </w:pict>
                </mc:Fallback>
              </mc:AlternateContent>
            </w:r>
          </w:p>
          <w:p w:rsidR="0087085A" w:rsidRDefault="005810A0">
            <w:pPr>
              <w:keepLines/>
              <w:widowControl w:val="0"/>
              <w:jc w:val="both"/>
            </w:pPr>
            <w:r>
              <w:t xml:space="preserve">Рис.4. Знак безопасности </w:t>
            </w:r>
          </w:p>
          <w:p w:rsidR="0087085A" w:rsidRDefault="005810A0">
            <w:pPr>
              <w:keepLines/>
              <w:widowControl w:val="0"/>
              <w:jc w:val="both"/>
            </w:pPr>
            <w:r>
              <w:t>«Не влезай, убьет!»</w:t>
            </w:r>
          </w:p>
        </w:tc>
        <w:tc>
          <w:tcPr>
            <w:tcW w:w="6373" w:type="dxa"/>
            <w:shd w:val="clear" w:color="auto" w:fill="auto"/>
          </w:tcPr>
          <w:p w:rsidR="0087085A" w:rsidRDefault="005810A0">
            <w:pPr>
              <w:pStyle w:val="afff7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изготовлению знаков безопасности:</w:t>
            </w:r>
          </w:p>
          <w:p w:rsidR="0087085A" w:rsidRDefault="005810A0">
            <w:pPr>
              <w:pStyle w:val="afff7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изготавливаются из металла толщиной не менее 0,5 мм со стеклокерамическим, эмалированным покрытием в соответствии с требованиями ГОСТ 24405-80 со сроком эксплуатации не менее 20 лет;</w:t>
            </w:r>
          </w:p>
          <w:p w:rsidR="0087085A" w:rsidRDefault="005810A0">
            <w:pPr>
              <w:pStyle w:val="afff7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должны изготавливаться методом штамповки с отбортовкой по всему периметру базового носителя. Не допускается наличие отверстий на лицевой поверхности базовых носителей;</w:t>
            </w:r>
          </w:p>
          <w:p w:rsidR="0087085A" w:rsidRDefault="005810A0">
            <w:pPr>
              <w:pStyle w:val="afff7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конструкция должна предусматривать наличие универсальных (для всех видов креплений) отверстий на бортах базовых носителей, в том числе кронштейнами, бандажной металлической лентой, метизами и др.;</w:t>
            </w:r>
          </w:p>
          <w:p w:rsidR="0087085A" w:rsidRDefault="005810A0">
            <w:pPr>
              <w:pStyle w:val="afff7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нанесение текста и изображений на базовый носитель выполняется методам деколирования на эмалированную поверхность – нанесение изображения при помощи шелкографической печати с последующим высокотемпературным обжигом. Борта базовых носителей должны покрываться силикатной эмалью и закрываться деколью в продолжении основного изображения лицевой поверхности (не допускается изготовление деколей на струйных, цифровых и офсетных принтерах);</w:t>
            </w:r>
          </w:p>
          <w:p w:rsidR="0087085A" w:rsidRDefault="005810A0">
            <w:pPr>
              <w:pStyle w:val="afff7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цветографические изображения должны соответствовать стандартной шкале Pantone/Ral;</w:t>
            </w:r>
          </w:p>
          <w:p w:rsidR="0087085A" w:rsidRDefault="005810A0">
            <w:pPr>
              <w:pStyle w:val="afff7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фоновые изображения базовых носителей должны быть матовые (антибликовые);</w:t>
            </w:r>
          </w:p>
          <w:p w:rsidR="0087085A" w:rsidRDefault="005810A0">
            <w:pPr>
              <w:pStyle w:val="afff7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размеры элементов изображений, размещаемых на базовых носителях, необходимо выбирать, исходя из максимальной реализации свободного пространства;</w:t>
            </w:r>
          </w:p>
          <w:p w:rsidR="0087085A" w:rsidRDefault="005810A0">
            <w:pPr>
              <w:pStyle w:val="afff7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поверхность покрытия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кратеров, разрывов и отслаиваний покрытия.</w:t>
            </w:r>
          </w:p>
          <w:p w:rsidR="0087085A" w:rsidRDefault="005810A0">
            <w:pPr>
              <w:pStyle w:val="afff7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Знаки безопасности должны удовлетворять следующим условиям эксплуатации:</w:t>
            </w:r>
          </w:p>
          <w:p w:rsidR="0087085A" w:rsidRDefault="005810A0">
            <w:pPr>
              <w:pStyle w:val="afff7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возможность эксплуатации при температуре окружающей среды от -70</w:t>
            </w:r>
            <w:r>
              <w:rPr>
                <w:rFonts w:ascii="Cambria Math" w:hAnsi="Cambria Math" w:cs="Cambria Math"/>
                <w:sz w:val="24"/>
                <w:szCs w:val="24"/>
              </w:rPr>
              <w:t>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+ 50</w:t>
            </w:r>
            <w:r>
              <w:rPr>
                <w:rFonts w:ascii="Cambria Math" w:hAnsi="Cambria Math" w:cs="Cambria Math"/>
                <w:sz w:val="24"/>
                <w:szCs w:val="24"/>
              </w:rPr>
              <w:t>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относительной влажности воздуха от 0 до 100%;</w:t>
            </w:r>
          </w:p>
          <w:p w:rsidR="0087085A" w:rsidRDefault="005810A0">
            <w:pPr>
              <w:pStyle w:val="afff7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стойкость текста и изображения к воздействию растворителей и слабых растворов кислот, а также к выцветанию на протяжении всего срока службы;</w:t>
            </w:r>
          </w:p>
          <w:p w:rsidR="0087085A" w:rsidRDefault="005810A0">
            <w:pPr>
              <w:pStyle w:val="afff7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стойкость к негативному влиянию коррозионных агентов атмосферы воздуха, соответствующих группе II (промышленная) в соответствии с ГОСТ 15150 на протяжении всего срока службы;</w:t>
            </w:r>
          </w:p>
          <w:p w:rsidR="0087085A" w:rsidRDefault="005810A0">
            <w:pPr>
              <w:pStyle w:val="afff7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стойкость к воздействию атмосферных осадков (снега, инея, дождя), солнечного излучения, соляного тумана, пыли (для базовых носителей наружного размещения) на протяжении всего срока службы;</w:t>
            </w:r>
          </w:p>
          <w:p w:rsidR="0087085A" w:rsidRDefault="005810A0">
            <w:pPr>
              <w:pStyle w:val="afff7"/>
              <w:ind w:left="-57" w:right="-113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 при правильной эксплуатации и соблюдении общих правил охраны труда и гигиены должно исключаться выделение в окружающую среду токсичных и вредных веществ.</w:t>
            </w:r>
          </w:p>
        </w:tc>
      </w:tr>
    </w:tbl>
    <w:p w:rsidR="0087085A" w:rsidRDefault="0087085A">
      <w:pPr>
        <w:widowControl w:val="0"/>
        <w:jc w:val="right"/>
      </w:pPr>
    </w:p>
    <w:p w:rsidR="0087085A" w:rsidRDefault="0087085A">
      <w:pPr>
        <w:widowControl w:val="0"/>
        <w:jc w:val="right"/>
      </w:pPr>
    </w:p>
    <w:p w:rsidR="0087085A" w:rsidRDefault="0087085A">
      <w:pPr>
        <w:widowControl w:val="0"/>
        <w:jc w:val="right"/>
      </w:pPr>
    </w:p>
    <w:p w:rsidR="0087085A" w:rsidRDefault="0087085A">
      <w:pPr>
        <w:widowControl w:val="0"/>
        <w:jc w:val="right"/>
      </w:pPr>
    </w:p>
    <w:p w:rsidR="0087085A" w:rsidRDefault="0087085A">
      <w:pPr>
        <w:widowControl w:val="0"/>
        <w:jc w:val="right"/>
      </w:pPr>
    </w:p>
    <w:p w:rsidR="0087085A" w:rsidRDefault="005810A0">
      <w:pPr>
        <w:widowControl w:val="0"/>
        <w:jc w:val="right"/>
      </w:pPr>
      <w:r>
        <w:t>Приложение №3</w:t>
      </w:r>
    </w:p>
    <w:p w:rsidR="0087085A" w:rsidRDefault="005810A0">
      <w:pPr>
        <w:widowControl w:val="0"/>
        <w:jc w:val="right"/>
      </w:pPr>
      <w:r>
        <w:t>к техническому заданию</w:t>
      </w:r>
    </w:p>
    <w:p w:rsidR="0087085A" w:rsidRDefault="0087085A">
      <w:pPr>
        <w:pStyle w:val="afff7"/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87085A" w:rsidRDefault="0087085A">
      <w:pPr>
        <w:pStyle w:val="afff7"/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87085A" w:rsidRDefault="005810A0">
      <w:pPr>
        <w:pStyle w:val="10"/>
        <w:widowControl w:val="0"/>
        <w:numPr>
          <w:ilvl w:val="0"/>
          <w:numId w:val="0"/>
        </w:numPr>
        <w:spacing w:before="0" w:after="0"/>
        <w:jc w:val="center"/>
      </w:pPr>
      <w:r>
        <w:t>Типовые технические решения</w:t>
      </w:r>
      <w:r>
        <w:br/>
        <w:t>ПАО «Россети» по организации учета электроэнергии</w:t>
      </w: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jc w:val="center"/>
      </w:pPr>
    </w:p>
    <w:p w:rsidR="0087085A" w:rsidRDefault="005810A0">
      <w:pPr>
        <w:jc w:val="center"/>
      </w:pPr>
      <w:r>
        <w:rPr>
          <w:rFonts w:ascii="Times New Roman CYR" w:hAnsi="Times New Roman CYR" w:cs="Times New Roman CYR"/>
          <w:i/>
        </w:rPr>
        <w:t xml:space="preserve">Приложение в формате </w:t>
      </w:r>
      <w:r>
        <w:rPr>
          <w:rFonts w:ascii="Times New Roman CYR" w:hAnsi="Times New Roman CYR" w:cs="Times New Roman CYR"/>
          <w:i/>
          <w:lang w:val="en-US"/>
        </w:rPr>
        <w:t>PDF</w:t>
      </w: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:rsidR="0087085A" w:rsidRDefault="0087085A">
      <w:pPr>
        <w:widowControl w:val="0"/>
      </w:pPr>
    </w:p>
    <w:sectPr w:rsidR="0087085A">
      <w:footerReference w:type="default" r:id="rId22"/>
      <w:pgSz w:w="15840" w:h="12240" w:orient="landscape"/>
      <w:pgMar w:top="1276" w:right="567" w:bottom="709" w:left="425" w:header="709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8E9" w:rsidRDefault="001138E9">
      <w:pPr>
        <w:rPr>
          <w:sz w:val="23"/>
          <w:szCs w:val="23"/>
        </w:rPr>
      </w:pPr>
      <w:r>
        <w:rPr>
          <w:sz w:val="23"/>
          <w:szCs w:val="23"/>
        </w:rPr>
        <w:separator/>
      </w:r>
    </w:p>
  </w:endnote>
  <w:endnote w:type="continuationSeparator" w:id="0">
    <w:p w:rsidR="001138E9" w:rsidRDefault="001138E9">
      <w:pPr>
        <w:rPr>
          <w:sz w:val="23"/>
          <w:szCs w:val="23"/>
        </w:rPr>
      </w:pPr>
      <w:r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85A" w:rsidRDefault="005810A0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E2A4D">
      <w:rPr>
        <w:noProof/>
      </w:rPr>
      <w:t>6</w:t>
    </w:r>
    <w:r>
      <w:fldChar w:fldCharType="end"/>
    </w:r>
  </w:p>
  <w:p w:rsidR="0087085A" w:rsidRDefault="0087085A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85A" w:rsidRDefault="0087085A">
    <w:pPr>
      <w:pStyle w:val="af3"/>
      <w:jc w:val="right"/>
    </w:pPr>
  </w:p>
  <w:p w:rsidR="0087085A" w:rsidRDefault="0087085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8E9" w:rsidRDefault="001138E9">
      <w:pPr>
        <w:rPr>
          <w:sz w:val="23"/>
          <w:szCs w:val="23"/>
        </w:rPr>
      </w:pPr>
      <w:r>
        <w:rPr>
          <w:sz w:val="23"/>
          <w:szCs w:val="23"/>
        </w:rPr>
        <w:separator/>
      </w:r>
    </w:p>
  </w:footnote>
  <w:footnote w:type="continuationSeparator" w:id="0">
    <w:p w:rsidR="001138E9" w:rsidRDefault="001138E9">
      <w:pPr>
        <w:rPr>
          <w:sz w:val="23"/>
          <w:szCs w:val="23"/>
        </w:rPr>
      </w:pPr>
      <w:r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53A96"/>
    <w:multiLevelType w:val="hybridMultilevel"/>
    <w:tmpl w:val="B712A5F6"/>
    <w:lvl w:ilvl="0" w:tplc="3E7A3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AA38A0B8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3E92F0A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5BE31E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EC6DE7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1144BC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B8E429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E886CE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FD82B5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700757"/>
    <w:multiLevelType w:val="hybridMultilevel"/>
    <w:tmpl w:val="6A4A34A6"/>
    <w:lvl w:ilvl="0" w:tplc="119CDD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A3038A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266165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CC627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2D2DE9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EBC705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C84467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4E99E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BCE279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7E390D"/>
    <w:multiLevelType w:val="hybridMultilevel"/>
    <w:tmpl w:val="C8BEC174"/>
    <w:lvl w:ilvl="0" w:tplc="FCFAC524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82101A56">
      <w:start w:val="1"/>
      <w:numFmt w:val="lowerLetter"/>
      <w:lvlText w:val="%2."/>
      <w:lvlJc w:val="left"/>
      <w:pPr>
        <w:ind w:left="1931" w:hanging="360"/>
      </w:pPr>
    </w:lvl>
    <w:lvl w:ilvl="2" w:tplc="C1962D88">
      <w:start w:val="1"/>
      <w:numFmt w:val="lowerRoman"/>
      <w:lvlText w:val="%3."/>
      <w:lvlJc w:val="right"/>
      <w:pPr>
        <w:ind w:left="2651" w:hanging="180"/>
      </w:pPr>
    </w:lvl>
    <w:lvl w:ilvl="3" w:tplc="465ED3DC">
      <w:start w:val="1"/>
      <w:numFmt w:val="decimal"/>
      <w:lvlText w:val="%4."/>
      <w:lvlJc w:val="left"/>
      <w:pPr>
        <w:ind w:left="3371" w:hanging="360"/>
      </w:pPr>
    </w:lvl>
    <w:lvl w:ilvl="4" w:tplc="3C726BCC">
      <w:start w:val="1"/>
      <w:numFmt w:val="lowerLetter"/>
      <w:lvlText w:val="%5."/>
      <w:lvlJc w:val="left"/>
      <w:pPr>
        <w:ind w:left="4091" w:hanging="360"/>
      </w:pPr>
    </w:lvl>
    <w:lvl w:ilvl="5" w:tplc="E00A95FE">
      <w:start w:val="1"/>
      <w:numFmt w:val="lowerRoman"/>
      <w:lvlText w:val="%6."/>
      <w:lvlJc w:val="right"/>
      <w:pPr>
        <w:ind w:left="4811" w:hanging="180"/>
      </w:pPr>
    </w:lvl>
    <w:lvl w:ilvl="6" w:tplc="CDFCFA0C">
      <w:start w:val="1"/>
      <w:numFmt w:val="decimal"/>
      <w:lvlText w:val="%7."/>
      <w:lvlJc w:val="left"/>
      <w:pPr>
        <w:ind w:left="5531" w:hanging="360"/>
      </w:pPr>
    </w:lvl>
    <w:lvl w:ilvl="7" w:tplc="3B9AEE30">
      <w:start w:val="1"/>
      <w:numFmt w:val="lowerLetter"/>
      <w:lvlText w:val="%8."/>
      <w:lvlJc w:val="left"/>
      <w:pPr>
        <w:ind w:left="6251" w:hanging="360"/>
      </w:pPr>
    </w:lvl>
    <w:lvl w:ilvl="8" w:tplc="568E024C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EC841AD"/>
    <w:multiLevelType w:val="hybridMultilevel"/>
    <w:tmpl w:val="8788FEE4"/>
    <w:lvl w:ilvl="0" w:tplc="094C22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45EECA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1BA717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E586EB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FC43C60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CC8D6F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40E316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0BC6B94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AC5835D6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EF2466"/>
    <w:multiLevelType w:val="hybridMultilevel"/>
    <w:tmpl w:val="3FA0611A"/>
    <w:lvl w:ilvl="0" w:tplc="AE5A627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B34E43D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9A2962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35E8FD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4421FF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44924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3B0DB4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2BC08F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7587C5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B66086"/>
    <w:multiLevelType w:val="multilevel"/>
    <w:tmpl w:val="831A14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8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04" w:hanging="1800"/>
      </w:pPr>
      <w:rPr>
        <w:rFonts w:hint="default"/>
      </w:rPr>
    </w:lvl>
  </w:abstractNum>
  <w:abstractNum w:abstractNumId="6" w15:restartNumberingAfterBreak="0">
    <w:nsid w:val="23064B5D"/>
    <w:multiLevelType w:val="multilevel"/>
    <w:tmpl w:val="46A24356"/>
    <w:lvl w:ilvl="0">
      <w:start w:val="3"/>
      <w:numFmt w:val="decimal"/>
      <w:lvlText w:val="%1."/>
      <w:lvlJc w:val="left"/>
      <w:pPr>
        <w:ind w:left="1273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2763383E"/>
    <w:multiLevelType w:val="multilevel"/>
    <w:tmpl w:val="9FE0D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8" w15:restartNumberingAfterBreak="0">
    <w:nsid w:val="2B4C3406"/>
    <w:multiLevelType w:val="multilevel"/>
    <w:tmpl w:val="56EC093E"/>
    <w:lvl w:ilvl="0">
      <w:start w:val="3"/>
      <w:numFmt w:val="decimal"/>
      <w:lvlText w:val="%1."/>
      <w:lvlJc w:val="left"/>
      <w:pPr>
        <w:ind w:left="1273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32005B7E"/>
    <w:multiLevelType w:val="multilevel"/>
    <w:tmpl w:val="CB900D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24" w:hanging="1800"/>
      </w:pPr>
      <w:rPr>
        <w:rFonts w:hint="default"/>
      </w:rPr>
    </w:lvl>
  </w:abstractNum>
  <w:abstractNum w:abstractNumId="10" w15:restartNumberingAfterBreak="0">
    <w:nsid w:val="32C14ABD"/>
    <w:multiLevelType w:val="hybridMultilevel"/>
    <w:tmpl w:val="00D89E26"/>
    <w:lvl w:ilvl="0" w:tplc="94B8DF60">
      <w:start w:val="2"/>
      <w:numFmt w:val="decimal"/>
      <w:lvlText w:val="%1"/>
      <w:lvlJc w:val="left"/>
      <w:pPr>
        <w:ind w:left="1069" w:hanging="360"/>
      </w:pPr>
      <w:rPr>
        <w:rFonts w:hint="default"/>
        <w:b/>
        <w:color w:val="000000"/>
        <w:u w:val="single"/>
      </w:rPr>
    </w:lvl>
    <w:lvl w:ilvl="1" w:tplc="19287560">
      <w:start w:val="1"/>
      <w:numFmt w:val="lowerLetter"/>
      <w:lvlText w:val="%2."/>
      <w:lvlJc w:val="left"/>
      <w:pPr>
        <w:ind w:left="1789" w:hanging="360"/>
      </w:pPr>
    </w:lvl>
    <w:lvl w:ilvl="2" w:tplc="83E8D50C">
      <w:start w:val="1"/>
      <w:numFmt w:val="lowerRoman"/>
      <w:lvlText w:val="%3."/>
      <w:lvlJc w:val="right"/>
      <w:pPr>
        <w:ind w:left="2509" w:hanging="180"/>
      </w:pPr>
    </w:lvl>
    <w:lvl w:ilvl="3" w:tplc="D2523EC4">
      <w:start w:val="1"/>
      <w:numFmt w:val="decimal"/>
      <w:lvlText w:val="%4."/>
      <w:lvlJc w:val="left"/>
      <w:pPr>
        <w:ind w:left="3229" w:hanging="360"/>
      </w:pPr>
    </w:lvl>
    <w:lvl w:ilvl="4" w:tplc="66E023F2">
      <w:start w:val="1"/>
      <w:numFmt w:val="lowerLetter"/>
      <w:lvlText w:val="%5."/>
      <w:lvlJc w:val="left"/>
      <w:pPr>
        <w:ind w:left="3949" w:hanging="360"/>
      </w:pPr>
    </w:lvl>
    <w:lvl w:ilvl="5" w:tplc="77962EFA">
      <w:start w:val="1"/>
      <w:numFmt w:val="lowerRoman"/>
      <w:lvlText w:val="%6."/>
      <w:lvlJc w:val="right"/>
      <w:pPr>
        <w:ind w:left="4669" w:hanging="180"/>
      </w:pPr>
    </w:lvl>
    <w:lvl w:ilvl="6" w:tplc="8D98A50A">
      <w:start w:val="1"/>
      <w:numFmt w:val="decimal"/>
      <w:lvlText w:val="%7."/>
      <w:lvlJc w:val="left"/>
      <w:pPr>
        <w:ind w:left="5389" w:hanging="360"/>
      </w:pPr>
    </w:lvl>
    <w:lvl w:ilvl="7" w:tplc="E8C2092C">
      <w:start w:val="1"/>
      <w:numFmt w:val="lowerLetter"/>
      <w:lvlText w:val="%8."/>
      <w:lvlJc w:val="left"/>
      <w:pPr>
        <w:ind w:left="6109" w:hanging="360"/>
      </w:pPr>
    </w:lvl>
    <w:lvl w:ilvl="8" w:tplc="30E64262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2E5313C"/>
    <w:multiLevelType w:val="hybridMultilevel"/>
    <w:tmpl w:val="220C6952"/>
    <w:lvl w:ilvl="0" w:tplc="FCE6AE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B617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1C68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CA09A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B5273D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2052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FBEED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728DD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168FB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6AF03F1"/>
    <w:multiLevelType w:val="hybridMultilevel"/>
    <w:tmpl w:val="ACDADAFA"/>
    <w:lvl w:ilvl="0" w:tplc="331040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7F8E18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1AEC1B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25CAE9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CB4DAF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544007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4E8288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AC6CD46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008956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E319AC"/>
    <w:multiLevelType w:val="multilevel"/>
    <w:tmpl w:val="5F768F6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1731570"/>
    <w:multiLevelType w:val="multilevel"/>
    <w:tmpl w:val="082CD4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53D69C3"/>
    <w:multiLevelType w:val="multilevel"/>
    <w:tmpl w:val="F9143162"/>
    <w:lvl w:ilvl="0">
      <w:start w:val="1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color w:val="000000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ascii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ascii="Times New Roman" w:hAnsi="Times New Roman" w:cs="Times New Roman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ascii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ascii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ascii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Times New Roman" w:hAnsi="Times New Roman" w:cs="Times New Roman" w:hint="default"/>
        <w:color w:val="000000"/>
      </w:rPr>
    </w:lvl>
  </w:abstractNum>
  <w:abstractNum w:abstractNumId="16" w15:restartNumberingAfterBreak="0">
    <w:nsid w:val="4EE31A37"/>
    <w:multiLevelType w:val="hybridMultilevel"/>
    <w:tmpl w:val="ED42BD2E"/>
    <w:lvl w:ilvl="0" w:tplc="441C63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4EE17C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C6E45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372370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9C85A5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DAF8DE7E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9BA0D3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96E37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73C06B6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2F5351C"/>
    <w:multiLevelType w:val="hybridMultilevel"/>
    <w:tmpl w:val="56846424"/>
    <w:lvl w:ilvl="0" w:tplc="29B44B4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DE641BC8">
      <w:start w:val="1"/>
      <w:numFmt w:val="lowerLetter"/>
      <w:lvlText w:val="%2."/>
      <w:lvlJc w:val="left"/>
      <w:pPr>
        <w:ind w:left="1647" w:hanging="360"/>
      </w:pPr>
    </w:lvl>
    <w:lvl w:ilvl="2" w:tplc="0B1EDAE2">
      <w:start w:val="1"/>
      <w:numFmt w:val="lowerRoman"/>
      <w:lvlText w:val="%3."/>
      <w:lvlJc w:val="right"/>
      <w:pPr>
        <w:ind w:left="2367" w:hanging="180"/>
      </w:pPr>
    </w:lvl>
    <w:lvl w:ilvl="3" w:tplc="CF383712">
      <w:start w:val="1"/>
      <w:numFmt w:val="decimal"/>
      <w:lvlText w:val="%4."/>
      <w:lvlJc w:val="left"/>
      <w:pPr>
        <w:ind w:left="3087" w:hanging="360"/>
      </w:pPr>
    </w:lvl>
    <w:lvl w:ilvl="4" w:tplc="2EEA0D70">
      <w:start w:val="1"/>
      <w:numFmt w:val="lowerLetter"/>
      <w:pStyle w:val="a"/>
      <w:lvlText w:val="%5."/>
      <w:lvlJc w:val="left"/>
      <w:pPr>
        <w:ind w:left="3807" w:hanging="360"/>
      </w:pPr>
    </w:lvl>
    <w:lvl w:ilvl="5" w:tplc="EA14B60A">
      <w:start w:val="1"/>
      <w:numFmt w:val="lowerRoman"/>
      <w:lvlText w:val="%6."/>
      <w:lvlJc w:val="right"/>
      <w:pPr>
        <w:ind w:left="4527" w:hanging="180"/>
      </w:pPr>
    </w:lvl>
    <w:lvl w:ilvl="6" w:tplc="52CE15E8">
      <w:start w:val="1"/>
      <w:numFmt w:val="decimal"/>
      <w:lvlText w:val="%7."/>
      <w:lvlJc w:val="left"/>
      <w:pPr>
        <w:ind w:left="5247" w:hanging="360"/>
      </w:pPr>
    </w:lvl>
    <w:lvl w:ilvl="7" w:tplc="D9B4763E">
      <w:start w:val="1"/>
      <w:numFmt w:val="lowerLetter"/>
      <w:lvlText w:val="%8."/>
      <w:lvlJc w:val="left"/>
      <w:pPr>
        <w:ind w:left="5967" w:hanging="360"/>
      </w:pPr>
    </w:lvl>
    <w:lvl w:ilvl="8" w:tplc="C18802E2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F171A3"/>
    <w:multiLevelType w:val="hybridMultilevel"/>
    <w:tmpl w:val="B90CB95E"/>
    <w:lvl w:ilvl="0" w:tplc="E79A91E4">
      <w:start w:val="10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3E9E7FB6">
      <w:start w:val="1"/>
      <w:numFmt w:val="lowerLetter"/>
      <w:lvlText w:val="%2."/>
      <w:lvlJc w:val="left"/>
      <w:pPr>
        <w:ind w:left="1890" w:hanging="360"/>
      </w:pPr>
    </w:lvl>
    <w:lvl w:ilvl="2" w:tplc="D5B62A7E">
      <w:start w:val="1"/>
      <w:numFmt w:val="lowerRoman"/>
      <w:lvlText w:val="%3."/>
      <w:lvlJc w:val="right"/>
      <w:pPr>
        <w:ind w:left="2610" w:hanging="180"/>
      </w:pPr>
    </w:lvl>
    <w:lvl w:ilvl="3" w:tplc="97CCDEAC">
      <w:start w:val="1"/>
      <w:numFmt w:val="decimal"/>
      <w:lvlText w:val="%4."/>
      <w:lvlJc w:val="left"/>
      <w:pPr>
        <w:ind w:left="3330" w:hanging="360"/>
      </w:pPr>
    </w:lvl>
    <w:lvl w:ilvl="4" w:tplc="18722CA6">
      <w:start w:val="1"/>
      <w:numFmt w:val="lowerLetter"/>
      <w:lvlText w:val="%5."/>
      <w:lvlJc w:val="left"/>
      <w:pPr>
        <w:ind w:left="4050" w:hanging="360"/>
      </w:pPr>
    </w:lvl>
    <w:lvl w:ilvl="5" w:tplc="3E525358">
      <w:start w:val="1"/>
      <w:numFmt w:val="lowerRoman"/>
      <w:lvlText w:val="%6."/>
      <w:lvlJc w:val="right"/>
      <w:pPr>
        <w:ind w:left="4770" w:hanging="180"/>
      </w:pPr>
    </w:lvl>
    <w:lvl w:ilvl="6" w:tplc="ADBC7D68">
      <w:start w:val="1"/>
      <w:numFmt w:val="decimal"/>
      <w:lvlText w:val="%7."/>
      <w:lvlJc w:val="left"/>
      <w:pPr>
        <w:ind w:left="5490" w:hanging="360"/>
      </w:pPr>
    </w:lvl>
    <w:lvl w:ilvl="7" w:tplc="775A5BBC">
      <w:start w:val="1"/>
      <w:numFmt w:val="lowerLetter"/>
      <w:lvlText w:val="%8."/>
      <w:lvlJc w:val="left"/>
      <w:pPr>
        <w:ind w:left="6210" w:hanging="360"/>
      </w:pPr>
    </w:lvl>
    <w:lvl w:ilvl="8" w:tplc="D106699A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557C3A33"/>
    <w:multiLevelType w:val="hybridMultilevel"/>
    <w:tmpl w:val="CB4CA844"/>
    <w:lvl w:ilvl="0" w:tplc="E48091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98F5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3FAA6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A7EC9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C62E9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FA224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92062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196CEC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AC8A2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6333435"/>
    <w:multiLevelType w:val="hybridMultilevel"/>
    <w:tmpl w:val="1A126FCA"/>
    <w:lvl w:ilvl="0" w:tplc="204E99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 w:tplc="3918A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EBF4A8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F916722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D9C2A57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1408DB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47C609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DC50739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301287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57907D96"/>
    <w:multiLevelType w:val="hybridMultilevel"/>
    <w:tmpl w:val="75C4835A"/>
    <w:lvl w:ilvl="0" w:tplc="89E8F7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7C75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D46CD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3341C6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0BAEF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0E2E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A90804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9101D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488F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7D435B1"/>
    <w:multiLevelType w:val="hybridMultilevel"/>
    <w:tmpl w:val="2A0448DE"/>
    <w:lvl w:ilvl="0" w:tplc="E8A6ED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5A840526">
      <w:start w:val="1"/>
      <w:numFmt w:val="none"/>
      <w:lvlText w:val=""/>
      <w:lvlJc w:val="left"/>
      <w:pPr>
        <w:tabs>
          <w:tab w:val="num" w:pos="360"/>
        </w:tabs>
      </w:pPr>
    </w:lvl>
    <w:lvl w:ilvl="2" w:tplc="DF289490">
      <w:start w:val="1"/>
      <w:numFmt w:val="none"/>
      <w:lvlText w:val=""/>
      <w:lvlJc w:val="left"/>
      <w:pPr>
        <w:tabs>
          <w:tab w:val="num" w:pos="360"/>
        </w:tabs>
      </w:pPr>
    </w:lvl>
    <w:lvl w:ilvl="3" w:tplc="C2224146">
      <w:start w:val="1"/>
      <w:numFmt w:val="none"/>
      <w:lvlText w:val=""/>
      <w:lvlJc w:val="left"/>
      <w:pPr>
        <w:tabs>
          <w:tab w:val="num" w:pos="360"/>
        </w:tabs>
      </w:pPr>
    </w:lvl>
    <w:lvl w:ilvl="4" w:tplc="8E5AAECA">
      <w:start w:val="1"/>
      <w:numFmt w:val="none"/>
      <w:lvlText w:val=""/>
      <w:lvlJc w:val="left"/>
      <w:pPr>
        <w:tabs>
          <w:tab w:val="num" w:pos="360"/>
        </w:tabs>
      </w:pPr>
    </w:lvl>
    <w:lvl w:ilvl="5" w:tplc="12B89A6A">
      <w:start w:val="1"/>
      <w:numFmt w:val="none"/>
      <w:lvlText w:val=""/>
      <w:lvlJc w:val="left"/>
      <w:pPr>
        <w:tabs>
          <w:tab w:val="num" w:pos="360"/>
        </w:tabs>
      </w:pPr>
    </w:lvl>
    <w:lvl w:ilvl="6" w:tplc="457ADCC6">
      <w:start w:val="1"/>
      <w:numFmt w:val="none"/>
      <w:lvlText w:val=""/>
      <w:lvlJc w:val="left"/>
      <w:pPr>
        <w:tabs>
          <w:tab w:val="num" w:pos="360"/>
        </w:tabs>
      </w:pPr>
    </w:lvl>
    <w:lvl w:ilvl="7" w:tplc="5422F07C">
      <w:start w:val="1"/>
      <w:numFmt w:val="none"/>
      <w:lvlText w:val=""/>
      <w:lvlJc w:val="left"/>
      <w:pPr>
        <w:tabs>
          <w:tab w:val="num" w:pos="360"/>
        </w:tabs>
      </w:pPr>
    </w:lvl>
    <w:lvl w:ilvl="8" w:tplc="59581C5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9990547"/>
    <w:multiLevelType w:val="hybridMultilevel"/>
    <w:tmpl w:val="3A5062E2"/>
    <w:lvl w:ilvl="0" w:tplc="F17E24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F1C95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B41B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2022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4EB5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7A22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AA8E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3009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9038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C1E65"/>
    <w:multiLevelType w:val="hybridMultilevel"/>
    <w:tmpl w:val="8C3653E6"/>
    <w:lvl w:ilvl="0" w:tplc="F7CC03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79CC20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DC48C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8F27EC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9F086A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94E30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39EA0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2CA65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DA4D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6FC2AF4"/>
    <w:multiLevelType w:val="multilevel"/>
    <w:tmpl w:val="098CC35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684316E2"/>
    <w:multiLevelType w:val="multilevel"/>
    <w:tmpl w:val="B39CDE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68815932"/>
    <w:multiLevelType w:val="multilevel"/>
    <w:tmpl w:val="38707E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6A3C5641"/>
    <w:multiLevelType w:val="hybridMultilevel"/>
    <w:tmpl w:val="926A5E38"/>
    <w:lvl w:ilvl="0" w:tplc="1640EEE4">
      <w:start w:val="1"/>
      <w:numFmt w:val="bullet"/>
      <w:pStyle w:val="10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46B024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238D1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9909F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CAEBE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6E469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90276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802B8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09497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2DE712D"/>
    <w:multiLevelType w:val="multilevel"/>
    <w:tmpl w:val="5F3AA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74B80366"/>
    <w:multiLevelType w:val="hybridMultilevel"/>
    <w:tmpl w:val="2954E55C"/>
    <w:lvl w:ilvl="0" w:tplc="A4784168">
      <w:start w:val="1"/>
      <w:numFmt w:val="decimal"/>
      <w:pStyle w:val="a0"/>
      <w:lvlText w:val="*"/>
      <w:lvlJc w:val="left"/>
    </w:lvl>
    <w:lvl w:ilvl="1" w:tplc="827A23E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7AE73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88EF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972FD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5AE0D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9F819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4E229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DE22F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77B94947"/>
    <w:multiLevelType w:val="multilevel"/>
    <w:tmpl w:val="15D02C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77F40CBE"/>
    <w:multiLevelType w:val="multilevel"/>
    <w:tmpl w:val="A310323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 w15:restartNumberingAfterBreak="0">
    <w:nsid w:val="783F4875"/>
    <w:multiLevelType w:val="multilevel"/>
    <w:tmpl w:val="B3C0683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" w:hAnsi="Times New Roman" w:cs="Times New Roman" w:hint="default"/>
        <w:color w:val="000000"/>
      </w:rPr>
    </w:lvl>
    <w:lvl w:ilvl="1">
      <w:start w:val="5"/>
      <w:numFmt w:val="decimal"/>
      <w:lvlText w:val="%1.%2."/>
      <w:lvlJc w:val="left"/>
      <w:pPr>
        <w:ind w:left="965" w:hanging="540"/>
      </w:pPr>
      <w:rPr>
        <w:rFonts w:ascii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ascii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ascii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ascii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ascii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ascii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ascii="Times New Roman" w:hAnsi="Times New Roman" w:cs="Times New Roman" w:hint="default"/>
        <w:color w:val="000000"/>
      </w:rPr>
    </w:lvl>
  </w:abstractNum>
  <w:abstractNum w:abstractNumId="34" w15:restartNumberingAfterBreak="0">
    <w:nsid w:val="7B827F8E"/>
    <w:multiLevelType w:val="hybridMultilevel"/>
    <w:tmpl w:val="93386F36"/>
    <w:lvl w:ilvl="0" w:tplc="CEB21FE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120E1284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DA00AE5A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444A333C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F627DF0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FEC2F1D8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9DE02C28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42FC4B7C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28C0C1EA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3"/>
  </w:num>
  <w:num w:numId="4">
    <w:abstractNumId w:val="4"/>
  </w:num>
  <w:num w:numId="5">
    <w:abstractNumId w:val="12"/>
  </w:num>
  <w:num w:numId="6">
    <w:abstractNumId w:val="26"/>
  </w:num>
  <w:num w:numId="7">
    <w:abstractNumId w:val="30"/>
    <w:lvlOverride w:ilvl="0">
      <w:lvl w:ilvl="0" w:tplc="A4784168">
        <w:start w:val="1"/>
        <w:numFmt w:val="bullet"/>
        <w:pStyle w:val="a0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8">
    <w:abstractNumId w:val="3"/>
  </w:num>
  <w:num w:numId="9">
    <w:abstractNumId w:val="2"/>
  </w:num>
  <w:num w:numId="10">
    <w:abstractNumId w:val="18"/>
  </w:num>
  <w:num w:numId="11">
    <w:abstractNumId w:val="22"/>
  </w:num>
  <w:num w:numId="12">
    <w:abstractNumId w:val="9"/>
  </w:num>
  <w:num w:numId="13">
    <w:abstractNumId w:val="5"/>
  </w:num>
  <w:num w:numId="14">
    <w:abstractNumId w:val="1"/>
  </w:num>
  <w:num w:numId="15">
    <w:abstractNumId w:val="23"/>
  </w:num>
  <w:num w:numId="16">
    <w:abstractNumId w:val="16"/>
  </w:num>
  <w:num w:numId="17">
    <w:abstractNumId w:val="28"/>
  </w:num>
  <w:num w:numId="18">
    <w:abstractNumId w:val="3"/>
  </w:num>
  <w:num w:numId="19">
    <w:abstractNumId w:val="28"/>
  </w:num>
  <w:num w:numId="20">
    <w:abstractNumId w:val="14"/>
  </w:num>
  <w:num w:numId="21">
    <w:abstractNumId w:val="27"/>
  </w:num>
  <w:num w:numId="22">
    <w:abstractNumId w:val="31"/>
  </w:num>
  <w:num w:numId="23">
    <w:abstractNumId w:val="29"/>
  </w:num>
  <w:num w:numId="24">
    <w:abstractNumId w:val="32"/>
  </w:num>
  <w:num w:numId="25">
    <w:abstractNumId w:val="15"/>
  </w:num>
  <w:num w:numId="26">
    <w:abstractNumId w:val="10"/>
  </w:num>
  <w:num w:numId="27">
    <w:abstractNumId w:val="33"/>
  </w:num>
  <w:num w:numId="2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3"/>
  </w:num>
  <w:num w:numId="31">
    <w:abstractNumId w:val="3"/>
  </w:num>
  <w:num w:numId="32">
    <w:abstractNumId w:val="16"/>
  </w:num>
  <w:num w:numId="33">
    <w:abstractNumId w:val="24"/>
  </w:num>
  <w:num w:numId="34">
    <w:abstractNumId w:val="28"/>
  </w:num>
  <w:num w:numId="35">
    <w:abstractNumId w:val="3"/>
  </w:num>
  <w:num w:numId="36">
    <w:abstractNumId w:val="16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13"/>
  </w:num>
  <w:num w:numId="40">
    <w:abstractNumId w:val="11"/>
  </w:num>
  <w:num w:numId="41">
    <w:abstractNumId w:val="21"/>
  </w:num>
  <w:num w:numId="42">
    <w:abstractNumId w:val="19"/>
  </w:num>
  <w:num w:numId="43">
    <w:abstractNumId w:val="25"/>
  </w:num>
  <w:num w:numId="44">
    <w:abstractNumId w:val="17"/>
  </w:num>
  <w:num w:numId="45">
    <w:abstractNumId w:val="8"/>
  </w:num>
  <w:num w:numId="46">
    <w:abstractNumId w:val="7"/>
  </w:num>
  <w:num w:numId="47">
    <w:abstractNumId w:val="6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85A"/>
    <w:rsid w:val="000E3F08"/>
    <w:rsid w:val="001138E9"/>
    <w:rsid w:val="001E2A4D"/>
    <w:rsid w:val="002714F1"/>
    <w:rsid w:val="00273A9C"/>
    <w:rsid w:val="005810A0"/>
    <w:rsid w:val="00602965"/>
    <w:rsid w:val="0087085A"/>
    <w:rsid w:val="00C47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9E56C"/>
  <w15:docId w15:val="{4D5893BB-7A12-408A-B095-1E23BC8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120"/>
      <w:jc w:val="both"/>
      <w:outlineLvl w:val="0"/>
    </w:pPr>
    <w:rPr>
      <w:b/>
      <w:bCs/>
      <w:sz w:val="28"/>
      <w:szCs w:val="28"/>
    </w:rPr>
  </w:style>
  <w:style w:type="paragraph" w:styleId="20">
    <w:name w:val="heading 2"/>
    <w:basedOn w:val="a1"/>
    <w:next w:val="a1"/>
    <w:link w:val="21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0">
    <w:name w:val="heading 3"/>
    <w:basedOn w:val="a1"/>
    <w:next w:val="a1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1"/>
    <w:next w:val="a1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2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2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2"/>
    <w:link w:val="a5"/>
    <w:uiPriority w:val="10"/>
    <w:rPr>
      <w:sz w:val="48"/>
      <w:szCs w:val="48"/>
    </w:rPr>
  </w:style>
  <w:style w:type="paragraph" w:styleId="a7">
    <w:name w:val="Subtitle"/>
    <w:basedOn w:val="a1"/>
    <w:next w:val="a1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2"/>
    <w:link w:val="a7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Body Text Indent"/>
    <w:basedOn w:val="a1"/>
    <w:link w:val="ac"/>
    <w:pPr>
      <w:ind w:firstLine="540"/>
      <w:jc w:val="both"/>
    </w:pPr>
  </w:style>
  <w:style w:type="paragraph" w:styleId="ad">
    <w:name w:val="Balloon Text"/>
    <w:basedOn w:val="a1"/>
    <w:link w:val="ae"/>
    <w:semiHidden/>
    <w:rPr>
      <w:rFonts w:ascii="Tahoma" w:hAnsi="Tahoma"/>
      <w:sz w:val="16"/>
      <w:szCs w:val="16"/>
    </w:rPr>
  </w:style>
  <w:style w:type="paragraph" w:styleId="af">
    <w:name w:val="List"/>
    <w:basedOn w:val="a1"/>
    <w:pPr>
      <w:ind w:left="283" w:hanging="283"/>
    </w:pPr>
    <w:rPr>
      <w:sz w:val="20"/>
      <w:szCs w:val="20"/>
    </w:rPr>
  </w:style>
  <w:style w:type="table" w:styleId="af0">
    <w:name w:val="Table Grid"/>
    <w:basedOn w:val="a3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header"/>
    <w:basedOn w:val="a1"/>
    <w:link w:val="af2"/>
    <w:uiPriority w:val="99"/>
    <w:pPr>
      <w:tabs>
        <w:tab w:val="center" w:pos="4677"/>
        <w:tab w:val="right" w:pos="9355"/>
      </w:tabs>
    </w:pPr>
  </w:style>
  <w:style w:type="paragraph" w:styleId="af3">
    <w:name w:val="footer"/>
    <w:basedOn w:val="a1"/>
    <w:link w:val="af4"/>
    <w:uiPriority w:val="9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Pr>
      <w:sz w:val="24"/>
      <w:szCs w:val="24"/>
    </w:rPr>
  </w:style>
  <w:style w:type="character" w:customStyle="1" w:styleId="af5">
    <w:name w:val="Основной текст Знак"/>
    <w:rPr>
      <w:sz w:val="28"/>
      <w:szCs w:val="28"/>
      <w:lang w:val="ru-RU"/>
    </w:rPr>
  </w:style>
  <w:style w:type="paragraph" w:customStyle="1" w:styleId="14">
    <w:name w:val="Знак1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1"/>
    <w:next w:val="a1"/>
    <w:pPr>
      <w:keepNext/>
      <w:tabs>
        <w:tab w:val="num" w:pos="576"/>
        <w:tab w:val="num" w:pos="1134"/>
      </w:tabs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6">
    <w:name w:val="Пункт"/>
    <w:basedOn w:val="a1"/>
    <w:link w:val="af7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8">
    <w:name w:val="Emphasis"/>
    <w:qFormat/>
    <w:rPr>
      <w:rFonts w:cs="Times New Roman"/>
      <w:i/>
      <w:iCs/>
    </w:rPr>
  </w:style>
  <w:style w:type="paragraph" w:customStyle="1" w:styleId="af9">
    <w:name w:val="Знак Знак Знак"/>
    <w:basedOn w:val="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a">
    <w:name w:val="List Paragraph"/>
    <w:basedOn w:val="a1"/>
    <w:link w:val="afb"/>
    <w:uiPriority w:val="34"/>
    <w:qFormat/>
    <w:pPr>
      <w:ind w:left="720"/>
      <w:contextualSpacing/>
    </w:pPr>
  </w:style>
  <w:style w:type="character" w:styleId="afc">
    <w:name w:val="page number"/>
    <w:basedOn w:val="a2"/>
  </w:style>
  <w:style w:type="paragraph" w:styleId="33">
    <w:name w:val="Body Text 3"/>
    <w:basedOn w:val="a1"/>
    <w:link w:val="34"/>
    <w:pPr>
      <w:spacing w:after="120"/>
    </w:pPr>
    <w:rPr>
      <w:sz w:val="16"/>
      <w:szCs w:val="16"/>
    </w:rPr>
  </w:style>
  <w:style w:type="paragraph" w:customStyle="1" w:styleId="afd">
    <w:name w:val="Знак Знак Знак"/>
    <w:basedOn w:val="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7">
    <w:name w:val="xl67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character" w:styleId="afe">
    <w:name w:val="Hyperlink"/>
    <w:uiPriority w:val="99"/>
    <w:unhideWhenUsed/>
    <w:rPr>
      <w:color w:val="0000FF"/>
      <w:u w:val="single"/>
    </w:rPr>
  </w:style>
  <w:style w:type="character" w:styleId="aff">
    <w:name w:val="FollowedHyperlink"/>
    <w:uiPriority w:val="99"/>
    <w:unhideWhenUsed/>
    <w:rPr>
      <w:color w:val="800080"/>
      <w:u w:val="single"/>
    </w:rPr>
  </w:style>
  <w:style w:type="paragraph" w:styleId="aff0">
    <w:name w:val="Document Map"/>
    <w:basedOn w:val="a1"/>
    <w:link w:val="aff1"/>
    <w:rPr>
      <w:rFonts w:ascii="Tahoma" w:hAnsi="Tahoma"/>
      <w:sz w:val="16"/>
      <w:szCs w:val="16"/>
    </w:rPr>
  </w:style>
  <w:style w:type="character" w:customStyle="1" w:styleId="aff1">
    <w:name w:val="Схема документа Знак"/>
    <w:link w:val="aff0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rPr>
      <w:b/>
      <w:bCs/>
      <w:sz w:val="28"/>
      <w:szCs w:val="28"/>
    </w:rPr>
  </w:style>
  <w:style w:type="paragraph" w:styleId="aff2">
    <w:name w:val="annotation text"/>
    <w:basedOn w:val="a1"/>
    <w:link w:val="aff3"/>
    <w:uiPriority w:val="99"/>
    <w:unhideWhenUsed/>
    <w:rPr>
      <w:sz w:val="20"/>
      <w:szCs w:val="20"/>
    </w:rPr>
  </w:style>
  <w:style w:type="character" w:customStyle="1" w:styleId="aff3">
    <w:name w:val="Текст примечания Знак"/>
    <w:basedOn w:val="a2"/>
    <w:link w:val="aff2"/>
    <w:uiPriority w:val="99"/>
  </w:style>
  <w:style w:type="character" w:customStyle="1" w:styleId="af2">
    <w:name w:val="Верхний колонтитул Знак"/>
    <w:link w:val="af1"/>
    <w:uiPriority w:val="99"/>
    <w:rPr>
      <w:sz w:val="24"/>
      <w:szCs w:val="24"/>
    </w:rPr>
  </w:style>
  <w:style w:type="character" w:customStyle="1" w:styleId="ac">
    <w:name w:val="Основной текст с отступом Знак"/>
    <w:link w:val="ab"/>
    <w:rPr>
      <w:sz w:val="24"/>
      <w:szCs w:val="24"/>
    </w:rPr>
  </w:style>
  <w:style w:type="character" w:customStyle="1" w:styleId="34">
    <w:name w:val="Основной текст 3 Знак"/>
    <w:link w:val="33"/>
    <w:rPr>
      <w:sz w:val="16"/>
      <w:szCs w:val="16"/>
    </w:rPr>
  </w:style>
  <w:style w:type="character" w:customStyle="1" w:styleId="ae">
    <w:name w:val="Текст выноски Знак"/>
    <w:link w:val="ad"/>
    <w:semiHidden/>
    <w:rPr>
      <w:rFonts w:ascii="Tahoma" w:hAnsi="Tahoma" w:cs="Tahoma"/>
      <w:sz w:val="16"/>
      <w:szCs w:val="16"/>
    </w:rPr>
  </w:style>
  <w:style w:type="paragraph" w:customStyle="1" w:styleId="aff4">
    <w:name w:val="Содержимое таблицы"/>
    <w:basedOn w:val="a1"/>
    <w:uiPriority w:val="99"/>
    <w:pPr>
      <w:widowControl w:val="0"/>
      <w:suppressLineNumbers/>
    </w:pPr>
    <w:rPr>
      <w:rFonts w:ascii="Arial" w:hAnsi="Arial" w:cs="Arial"/>
      <w:sz w:val="20"/>
      <w:szCs w:val="20"/>
    </w:rPr>
  </w:style>
  <w:style w:type="character" w:styleId="aff5">
    <w:name w:val="annotation reference"/>
    <w:uiPriority w:val="99"/>
    <w:unhideWhenUsed/>
    <w:rPr>
      <w:sz w:val="16"/>
      <w:szCs w:val="16"/>
    </w:rPr>
  </w:style>
  <w:style w:type="character" w:customStyle="1" w:styleId="21">
    <w:name w:val="Заголовок 2 Знак"/>
    <w:link w:val="20"/>
    <w:rPr>
      <w:rFonts w:ascii="Cambria" w:eastAsia="Times New Roman" w:hAnsi="Cambria" w:cs="Times New Roman"/>
      <w:b/>
      <w:bCs/>
      <w:i/>
      <w:iCs/>
      <w:sz w:val="24"/>
      <w:szCs w:val="24"/>
    </w:rPr>
  </w:style>
  <w:style w:type="paragraph" w:styleId="aff6">
    <w:name w:val="TOC Heading"/>
    <w:basedOn w:val="11"/>
    <w:next w:val="a1"/>
    <w:uiPriority w:val="39"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5">
    <w:name w:val="toc 2"/>
    <w:basedOn w:val="a1"/>
    <w:next w:val="a1"/>
    <w:uiPriority w:val="39"/>
    <w:unhideWhenUsed/>
    <w:qFormat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5">
    <w:name w:val="toc 1"/>
    <w:basedOn w:val="a1"/>
    <w:next w:val="a1"/>
    <w:uiPriority w:val="39"/>
    <w:unhideWhenUsed/>
    <w:qFormat/>
    <w:pPr>
      <w:tabs>
        <w:tab w:val="right" w:leader="dot" w:pos="9628"/>
      </w:tabs>
    </w:pPr>
    <w:rPr>
      <w:rFonts w:ascii="Calibri" w:hAnsi="Calibri"/>
      <w:sz w:val="22"/>
      <w:szCs w:val="22"/>
    </w:rPr>
  </w:style>
  <w:style w:type="paragraph" w:styleId="35">
    <w:name w:val="toc 3"/>
    <w:basedOn w:val="a1"/>
    <w:next w:val="a1"/>
    <w:uiPriority w:val="39"/>
    <w:unhideWhenUsed/>
    <w:qFormat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0">
    <w:name w:val="м1"/>
    <w:basedOn w:val="afa"/>
    <w:link w:val="16"/>
    <w:qFormat/>
    <w:pPr>
      <w:numPr>
        <w:numId w:val="1"/>
      </w:numPr>
      <w:tabs>
        <w:tab w:val="clear" w:pos="928"/>
        <w:tab w:val="num" w:pos="720"/>
      </w:tabs>
      <w:spacing w:before="120" w:after="200"/>
      <w:ind w:left="720"/>
      <w:jc w:val="both"/>
    </w:pPr>
    <w:rPr>
      <w:lang w:eastAsia="en-US" w:bidi="en-US"/>
    </w:rPr>
  </w:style>
  <w:style w:type="character" w:customStyle="1" w:styleId="16">
    <w:name w:val="м1 Знак"/>
    <w:link w:val="10"/>
    <w:rPr>
      <w:sz w:val="24"/>
      <w:szCs w:val="24"/>
      <w:lang w:eastAsia="en-US" w:bidi="en-US"/>
    </w:rPr>
  </w:style>
  <w:style w:type="character" w:customStyle="1" w:styleId="160">
    <w:name w:val="Знак Знак16"/>
    <w:uiPriority w:val="99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7">
    <w:name w:val="Normal (Web)"/>
    <w:basedOn w:val="a1"/>
    <w:uiPriority w:val="99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8">
    <w:name w:val="Plain Text"/>
    <w:basedOn w:val="a1"/>
    <w:link w:val="aff9"/>
    <w:uiPriority w:val="99"/>
    <w:rPr>
      <w:rFonts w:ascii="Courier New" w:hAnsi="Courier New"/>
      <w:sz w:val="20"/>
      <w:szCs w:val="20"/>
      <w:lang w:val="en-US" w:eastAsia="en-US"/>
    </w:rPr>
  </w:style>
  <w:style w:type="character" w:customStyle="1" w:styleId="aff9">
    <w:name w:val="Текст Знак"/>
    <w:link w:val="aff8"/>
    <w:uiPriority w:val="99"/>
    <w:rPr>
      <w:rFonts w:ascii="Courier New" w:hAnsi="Courier New"/>
      <w:lang w:val="en-US" w:eastAsia="en-US"/>
    </w:rPr>
  </w:style>
  <w:style w:type="paragraph" w:customStyle="1" w:styleId="1">
    <w:name w:val="з1"/>
    <w:basedOn w:val="11"/>
    <w:link w:val="17"/>
    <w:qFormat/>
    <w:pPr>
      <w:numPr>
        <w:numId w:val="3"/>
      </w:numPr>
      <w:spacing w:after="60"/>
      <w:jc w:val="left"/>
    </w:pPr>
    <w:rPr>
      <w:rFonts w:cs="Arial"/>
      <w:szCs w:val="24"/>
      <w:lang w:val="en-US" w:eastAsia="en-US" w:bidi="en-US"/>
    </w:rPr>
  </w:style>
  <w:style w:type="paragraph" w:customStyle="1" w:styleId="2">
    <w:name w:val="з2"/>
    <w:basedOn w:val="20"/>
    <w:link w:val="26"/>
    <w:qFormat/>
    <w:pPr>
      <w:numPr>
        <w:ilvl w:val="1"/>
        <w:numId w:val="3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7">
    <w:name w:val="з1 Знак"/>
    <w:link w:val="1"/>
    <w:rPr>
      <w:rFonts w:cs="Arial"/>
      <w:b/>
      <w:bCs/>
      <w:sz w:val="28"/>
      <w:szCs w:val="24"/>
      <w:lang w:val="en-US" w:eastAsia="en-US" w:bidi="en-US"/>
    </w:rPr>
  </w:style>
  <w:style w:type="paragraph" w:customStyle="1" w:styleId="3">
    <w:name w:val="з3"/>
    <w:basedOn w:val="2"/>
    <w:link w:val="36"/>
    <w:qFormat/>
    <w:pPr>
      <w:numPr>
        <w:ilvl w:val="2"/>
      </w:numPr>
    </w:pPr>
  </w:style>
  <w:style w:type="character" w:customStyle="1" w:styleId="26">
    <w:name w:val="з2 Знак"/>
    <w:link w:val="2"/>
    <w:rPr>
      <w:b/>
      <w:bCs/>
      <w:i/>
      <w:iCs/>
      <w:sz w:val="24"/>
      <w:szCs w:val="28"/>
      <w:lang w:val="en-US" w:eastAsia="en-US" w:bidi="en-US"/>
    </w:rPr>
  </w:style>
  <w:style w:type="character" w:customStyle="1" w:styleId="36">
    <w:name w:val="з3 Знак"/>
    <w:link w:val="3"/>
    <w:rPr>
      <w:b/>
      <w:bCs/>
      <w:i/>
      <w:iCs/>
      <w:sz w:val="24"/>
      <w:szCs w:val="28"/>
      <w:lang w:val="en-US" w:eastAsia="en-US" w:bidi="en-US"/>
    </w:rPr>
  </w:style>
  <w:style w:type="paragraph" w:styleId="affa">
    <w:name w:val="annotation subject"/>
    <w:basedOn w:val="aff2"/>
    <w:next w:val="aff2"/>
    <w:link w:val="affb"/>
    <w:rPr>
      <w:b/>
      <w:bCs/>
    </w:rPr>
  </w:style>
  <w:style w:type="character" w:customStyle="1" w:styleId="affb">
    <w:name w:val="Тема примечания Знак"/>
    <w:link w:val="affa"/>
    <w:rPr>
      <w:b/>
      <w:bCs/>
    </w:rPr>
  </w:style>
  <w:style w:type="paragraph" w:styleId="affc">
    <w:name w:val="Revision"/>
    <w:hidden/>
    <w:uiPriority w:val="99"/>
    <w:semiHidden/>
    <w:rPr>
      <w:sz w:val="24"/>
      <w:szCs w:val="24"/>
    </w:rPr>
  </w:style>
  <w:style w:type="character" w:styleId="affd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1"/>
    <w:link w:val="38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rPr>
      <w:sz w:val="16"/>
      <w:szCs w:val="16"/>
    </w:rPr>
  </w:style>
  <w:style w:type="paragraph" w:styleId="a0">
    <w:name w:val="List Bullet"/>
    <w:basedOn w:val="a1"/>
    <w:pPr>
      <w:numPr>
        <w:numId w:val="7"/>
      </w:numPr>
      <w:spacing w:after="200" w:line="276" w:lineRule="auto"/>
    </w:pPr>
    <w:rPr>
      <w:rFonts w:asciiTheme="minorHAnsi" w:eastAsiaTheme="minorHAnsi" w:hAnsiTheme="minorHAnsi" w:cstheme="minorBidi"/>
      <w:sz w:val="22"/>
      <w:szCs w:val="20"/>
      <w:lang w:eastAsia="en-US"/>
    </w:rPr>
  </w:style>
  <w:style w:type="paragraph" w:styleId="affe">
    <w:name w:val="endnote text"/>
    <w:basedOn w:val="a1"/>
    <w:link w:val="afff"/>
    <w:rPr>
      <w:sz w:val="20"/>
      <w:szCs w:val="20"/>
    </w:rPr>
  </w:style>
  <w:style w:type="character" w:customStyle="1" w:styleId="afff">
    <w:name w:val="Текст концевой сноски Знак"/>
    <w:basedOn w:val="a2"/>
    <w:link w:val="affe"/>
  </w:style>
  <w:style w:type="character" w:styleId="afff0">
    <w:name w:val="endnote reference"/>
    <w:basedOn w:val="a2"/>
    <w:rPr>
      <w:vertAlign w:val="superscript"/>
    </w:rPr>
  </w:style>
  <w:style w:type="paragraph" w:styleId="afff1">
    <w:name w:val="footnote text"/>
    <w:basedOn w:val="a1"/>
    <w:link w:val="afff2"/>
    <w:rPr>
      <w:sz w:val="20"/>
      <w:szCs w:val="20"/>
    </w:rPr>
  </w:style>
  <w:style w:type="character" w:customStyle="1" w:styleId="afff2">
    <w:name w:val="Текст сноски Знак"/>
    <w:basedOn w:val="a2"/>
    <w:link w:val="afff1"/>
  </w:style>
  <w:style w:type="character" w:styleId="afff3">
    <w:name w:val="footnote reference"/>
    <w:basedOn w:val="a2"/>
    <w:rPr>
      <w:vertAlign w:val="superscript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ff5">
    <w:name w:val="Выделенная цитата Знак"/>
    <w:basedOn w:val="a2"/>
    <w:link w:val="afff4"/>
    <w:uiPriority w:val="30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7">
    <w:name w:val="Пункт Знак"/>
    <w:link w:val="af6"/>
    <w:rPr>
      <w:rFonts w:eastAsia="Calibri"/>
      <w:sz w:val="28"/>
    </w:rPr>
  </w:style>
  <w:style w:type="character" w:customStyle="1" w:styleId="afb">
    <w:name w:val="Абзац списка Знак"/>
    <w:link w:val="afa"/>
    <w:uiPriority w:val="34"/>
    <w:qFormat/>
    <w:rPr>
      <w:sz w:val="24"/>
      <w:szCs w:val="24"/>
    </w:rPr>
  </w:style>
  <w:style w:type="character" w:customStyle="1" w:styleId="afff6">
    <w:name w:val="Основной текст_"/>
    <w:link w:val="27"/>
    <w:rPr>
      <w:spacing w:val="2"/>
      <w:shd w:val="clear" w:color="auto" w:fill="FFFFFF"/>
    </w:rPr>
  </w:style>
  <w:style w:type="paragraph" w:customStyle="1" w:styleId="27">
    <w:name w:val="Основной текст2"/>
    <w:basedOn w:val="a1"/>
    <w:link w:val="afff6"/>
    <w:pPr>
      <w:shd w:val="clear" w:color="auto" w:fill="FFFFFF"/>
      <w:spacing w:line="293" w:lineRule="exact"/>
      <w:jc w:val="both"/>
    </w:pPr>
    <w:rPr>
      <w:spacing w:val="2"/>
      <w:sz w:val="20"/>
      <w:szCs w:val="20"/>
    </w:rPr>
  </w:style>
  <w:style w:type="paragraph" w:customStyle="1" w:styleId="formattext">
    <w:name w:val="formattext"/>
    <w:pPr>
      <w:widowControl w:val="0"/>
    </w:pPr>
    <w:rPr>
      <w:sz w:val="18"/>
      <w:szCs w:val="18"/>
    </w:rPr>
  </w:style>
  <w:style w:type="paragraph" w:customStyle="1" w:styleId="28">
    <w:name w:val="Таблица2"/>
    <w:basedOn w:val="a1"/>
    <w:qFormat/>
    <w:pPr>
      <w:tabs>
        <w:tab w:val="right" w:pos="10064"/>
      </w:tabs>
      <w:contextualSpacing/>
      <w:jc w:val="center"/>
    </w:pPr>
    <w:rPr>
      <w:sz w:val="28"/>
      <w:szCs w:val="20"/>
    </w:rPr>
  </w:style>
  <w:style w:type="paragraph" w:styleId="afff7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afff8">
    <w:name w:val="Стиль начало"/>
    <w:basedOn w:val="a1"/>
    <w:pPr>
      <w:widowControl w:val="0"/>
      <w:spacing w:line="264" w:lineRule="auto"/>
    </w:pPr>
    <w:rPr>
      <w:sz w:val="28"/>
      <w:szCs w:val="28"/>
    </w:rPr>
  </w:style>
  <w:style w:type="paragraph" w:customStyle="1" w:styleId="a">
    <w:name w:val="Подподпункт"/>
    <w:basedOn w:val="a1"/>
    <w:link w:val="afff9"/>
    <w:pPr>
      <w:widowControl w:val="0"/>
      <w:numPr>
        <w:ilvl w:val="4"/>
        <w:numId w:val="44"/>
      </w:numPr>
      <w:spacing w:line="360" w:lineRule="auto"/>
      <w:jc w:val="both"/>
    </w:pPr>
    <w:rPr>
      <w:sz w:val="28"/>
      <w:szCs w:val="20"/>
    </w:rPr>
  </w:style>
  <w:style w:type="character" w:customStyle="1" w:styleId="afff9">
    <w:name w:val="Подподпункт Знак"/>
    <w:link w:val="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310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6910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68777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7452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image" Target="media/image3.png"/><Relationship Id="rId3" Type="http://schemas.openxmlformats.org/officeDocument/2006/relationships/numbering" Target="numbering.xml"/><Relationship Id="rId21" Type="http://schemas.openxmlformats.org/officeDocument/2006/relationships/image" Target="media/image40.jpg"/><Relationship Id="rId7" Type="http://schemas.openxmlformats.org/officeDocument/2006/relationships/footnotes" Target="footnotes.xml"/><Relationship Id="rId12" Type="http://schemas.openxmlformats.org/officeDocument/2006/relationships/hyperlink" Target="https://www.rosseti.ru/upload/iblock/c37/9ksts0vcu2y4ah0t3w623sf8dgw5dcdf.pdf" TargetMode="External"/><Relationship Id="rId17" Type="http://schemas.openxmlformats.org/officeDocument/2006/relationships/image" Target="media/image20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4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rosseti.ru/upload/iblock/3a5/i0lkfj20uafvn53dp2hhp6b5axtu7s1z.pdf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hyperlink" Target="https://www.rosseti.ru/upload/iblock/c37/9ksts0vcu2y4ah0t3w623sf8dgw5dcdf.pdf" TargetMode="External"/><Relationship Id="rId19" Type="http://schemas.openxmlformats.org/officeDocument/2006/relationships/image" Target="media/image30.png"/><Relationship Id="rId4" Type="http://schemas.openxmlformats.org/officeDocument/2006/relationships/styles" Target="styles.xml"/><Relationship Id="rId9" Type="http://schemas.openxmlformats.org/officeDocument/2006/relationships/hyperlink" Target="https://www.rosseti.ru/upload/iblock/3a5/i0lkfj20uafvn53dp2hhp6b5axtu7s1z.pdf" TargetMode="External"/><Relationship Id="rId14" Type="http://schemas.openxmlformats.org/officeDocument/2006/relationships/image" Target="media/image1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0C6F1-1A23-477D-9B90-261CF8BF32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8FFB24-B0FB-4681-8847-9B9EE2E47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10</Pages>
  <Words>2640</Words>
  <Characters>15049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>МРСК</Company>
  <LinksUpToDate>false</LinksUpToDate>
  <CharactersWithSpaces>17654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creator>Customer</dc:creator>
  <cp:lastModifiedBy>Надежда Кузнецова</cp:lastModifiedBy>
  <cp:revision>5</cp:revision>
  <dcterms:created xsi:type="dcterms:W3CDTF">2024-08-27T03:01:00Z</dcterms:created>
  <dcterms:modified xsi:type="dcterms:W3CDTF">2024-09-30T01:58:00Z</dcterms:modified>
</cp:coreProperties>
</file>